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72BCA" w14:textId="5467D54C" w:rsidR="00ED2EDA" w:rsidRPr="008B6989" w:rsidRDefault="00ED2EDA" w:rsidP="007A4F4E">
      <w:pPr>
        <w:rPr>
          <w:rFonts w:cs="Arial"/>
          <w:b/>
          <w:bCs/>
          <w:color w:val="auto"/>
          <w:szCs w:val="20"/>
        </w:rPr>
      </w:pPr>
    </w:p>
    <w:p w14:paraId="2E6EBA8C" w14:textId="77777777" w:rsidR="00ED2EDA" w:rsidRPr="008B6989" w:rsidRDefault="00ED2EDA" w:rsidP="00ED2EDA">
      <w:pPr>
        <w:jc w:val="center"/>
        <w:rPr>
          <w:rFonts w:cs="Arial"/>
          <w:b/>
          <w:bCs/>
          <w:color w:val="auto"/>
          <w:szCs w:val="20"/>
        </w:rPr>
      </w:pPr>
    </w:p>
    <w:p w14:paraId="3A90D01F" w14:textId="77777777" w:rsidR="00ED2EDA" w:rsidRPr="008B6989" w:rsidRDefault="00ED2EDA" w:rsidP="00ED2EDA">
      <w:pPr>
        <w:jc w:val="center"/>
        <w:rPr>
          <w:rFonts w:cs="Arial"/>
          <w:b/>
          <w:bCs/>
          <w:color w:val="auto"/>
          <w:szCs w:val="20"/>
          <w:u w:val="single"/>
        </w:rPr>
      </w:pPr>
      <w:r w:rsidRPr="008B6989">
        <w:rPr>
          <w:rFonts w:cs="Arial"/>
          <w:b/>
          <w:bCs/>
          <w:color w:val="auto"/>
          <w:szCs w:val="20"/>
          <w:u w:val="single"/>
        </w:rPr>
        <w:t>HEXAGON MINING GENERAL TERMS AND CONDITIONS</w:t>
      </w:r>
    </w:p>
    <w:p w14:paraId="1B810D0A" w14:textId="77777777" w:rsidR="00ED2EDA" w:rsidRPr="008B6989" w:rsidRDefault="00ED2EDA" w:rsidP="00ED2EDA">
      <w:pPr>
        <w:jc w:val="both"/>
        <w:rPr>
          <w:rFonts w:cs="Arial"/>
          <w:color w:val="auto"/>
          <w:szCs w:val="20"/>
        </w:rPr>
      </w:pPr>
    </w:p>
    <w:p w14:paraId="40DDEBCF" w14:textId="77777777" w:rsidR="00ED2EDA" w:rsidRPr="008B6989" w:rsidRDefault="00ED2EDA" w:rsidP="00ED2EDA">
      <w:pPr>
        <w:jc w:val="both"/>
        <w:rPr>
          <w:rFonts w:cs="Arial"/>
          <w:color w:val="auto"/>
          <w:szCs w:val="20"/>
        </w:rPr>
      </w:pPr>
    </w:p>
    <w:p w14:paraId="1CAC405D" w14:textId="77777777" w:rsidR="00ED2EDA" w:rsidRPr="008B6989" w:rsidRDefault="00ED2EDA" w:rsidP="00ED2EDA">
      <w:pPr>
        <w:jc w:val="both"/>
        <w:rPr>
          <w:rFonts w:cs="Arial"/>
          <w:color w:val="auto"/>
          <w:szCs w:val="20"/>
        </w:rPr>
      </w:pPr>
      <w:r w:rsidRPr="008B6989">
        <w:rPr>
          <w:rFonts w:cs="Arial"/>
          <w:color w:val="auto"/>
          <w:szCs w:val="20"/>
        </w:rPr>
        <w:t>These General Terms and Conditions and the Hexagon quote or order form generated by Hexagon and executed by or otherwise agreed in writing between Hexagon and the Client (“</w:t>
      </w:r>
      <w:r w:rsidRPr="008B6989">
        <w:rPr>
          <w:rFonts w:cs="Arial"/>
          <w:b/>
          <w:color w:val="auto"/>
          <w:szCs w:val="20"/>
        </w:rPr>
        <w:t>Order</w:t>
      </w:r>
      <w:r w:rsidRPr="008B6989">
        <w:rPr>
          <w:rFonts w:cs="Arial"/>
          <w:color w:val="auto"/>
          <w:szCs w:val="20"/>
        </w:rPr>
        <w:t>”) together form the entire binding agreement (“</w:t>
      </w:r>
      <w:r w:rsidRPr="008B6989">
        <w:rPr>
          <w:rFonts w:cs="Arial"/>
          <w:b/>
          <w:color w:val="auto"/>
          <w:szCs w:val="20"/>
        </w:rPr>
        <w:t>Contract</w:t>
      </w:r>
      <w:r w:rsidRPr="008B6989">
        <w:rPr>
          <w:rFonts w:cs="Arial"/>
          <w:color w:val="auto"/>
          <w:szCs w:val="20"/>
        </w:rPr>
        <w:t xml:space="preserve">”) between the parties for use of Hexagon </w:t>
      </w:r>
      <w:r w:rsidRPr="008B6989">
        <w:rPr>
          <w:rFonts w:cs="Arial"/>
          <w:b/>
          <w:bCs/>
          <w:color w:val="auto"/>
          <w:szCs w:val="20"/>
        </w:rPr>
        <w:t>Hardware</w:t>
      </w:r>
      <w:r w:rsidRPr="008B6989">
        <w:rPr>
          <w:rFonts w:cs="Arial"/>
          <w:color w:val="auto"/>
          <w:szCs w:val="20"/>
        </w:rPr>
        <w:t xml:space="preserve"> and </w:t>
      </w:r>
      <w:r w:rsidRPr="008B6989">
        <w:rPr>
          <w:rFonts w:cs="Arial"/>
          <w:b/>
          <w:bCs/>
          <w:color w:val="auto"/>
          <w:szCs w:val="20"/>
        </w:rPr>
        <w:t>Software</w:t>
      </w:r>
      <w:r w:rsidRPr="008B6989">
        <w:rPr>
          <w:rFonts w:cs="Arial"/>
          <w:color w:val="auto"/>
          <w:szCs w:val="20"/>
        </w:rPr>
        <w:t>, the provision of professional services (“</w:t>
      </w:r>
      <w:r w:rsidRPr="008B6989">
        <w:rPr>
          <w:rFonts w:cs="Arial"/>
          <w:b/>
          <w:bCs/>
          <w:color w:val="auto"/>
          <w:szCs w:val="20"/>
        </w:rPr>
        <w:t>Services</w:t>
      </w:r>
      <w:r w:rsidRPr="008B6989">
        <w:rPr>
          <w:rFonts w:cs="Arial"/>
          <w:color w:val="auto"/>
          <w:szCs w:val="20"/>
        </w:rPr>
        <w:t>”), the software and/or hardware subscription or lease (“</w:t>
      </w:r>
      <w:r w:rsidRPr="008B6989">
        <w:rPr>
          <w:rFonts w:cs="Arial"/>
          <w:b/>
          <w:bCs/>
          <w:color w:val="auto"/>
          <w:szCs w:val="20"/>
        </w:rPr>
        <w:t>Subscription</w:t>
      </w:r>
      <w:r w:rsidRPr="008B6989">
        <w:rPr>
          <w:rFonts w:cs="Arial"/>
          <w:color w:val="auto"/>
          <w:szCs w:val="20"/>
        </w:rPr>
        <w:t>”) and annual maintenance (“</w:t>
      </w:r>
      <w:r w:rsidRPr="008B6989">
        <w:rPr>
          <w:rFonts w:cs="Arial"/>
          <w:b/>
          <w:bCs/>
          <w:color w:val="auto"/>
          <w:szCs w:val="20"/>
        </w:rPr>
        <w:t>Maintenance</w:t>
      </w:r>
      <w:r w:rsidRPr="008B6989">
        <w:rPr>
          <w:rFonts w:cs="Arial"/>
          <w:color w:val="auto"/>
          <w:szCs w:val="20"/>
        </w:rPr>
        <w:t>”) with its respective renewal (“</w:t>
      </w:r>
      <w:r w:rsidRPr="008B6989">
        <w:rPr>
          <w:rFonts w:cs="Arial"/>
          <w:b/>
          <w:bCs/>
          <w:color w:val="auto"/>
          <w:szCs w:val="20"/>
        </w:rPr>
        <w:t>Renewals</w:t>
      </w:r>
      <w:r w:rsidRPr="008B6989">
        <w:rPr>
          <w:rFonts w:cs="Arial"/>
          <w:color w:val="auto"/>
          <w:szCs w:val="20"/>
        </w:rPr>
        <w:t xml:space="preserve">”) as agreed upon by the parties in the applicable Order. </w:t>
      </w:r>
    </w:p>
    <w:p w14:paraId="172DF34C" w14:textId="77777777" w:rsidR="00ED2EDA" w:rsidRPr="008B6989" w:rsidRDefault="00ED2EDA" w:rsidP="00ED2EDA">
      <w:pPr>
        <w:jc w:val="both"/>
        <w:rPr>
          <w:rFonts w:cs="Arial"/>
          <w:color w:val="auto"/>
          <w:szCs w:val="20"/>
        </w:rPr>
      </w:pPr>
    </w:p>
    <w:p w14:paraId="58DB7756" w14:textId="77777777" w:rsidR="00ED2EDA" w:rsidRPr="008B6989" w:rsidRDefault="00ED2EDA" w:rsidP="00ED2EDA">
      <w:pPr>
        <w:jc w:val="both"/>
        <w:rPr>
          <w:rFonts w:cs="Arial"/>
          <w:color w:val="auto"/>
          <w:szCs w:val="20"/>
        </w:rPr>
      </w:pPr>
      <w:r w:rsidRPr="008B6989">
        <w:rPr>
          <w:rFonts w:cs="Arial"/>
          <w:b/>
          <w:color w:val="auto"/>
          <w:szCs w:val="20"/>
        </w:rPr>
        <w:t>1</w:t>
      </w:r>
      <w:r w:rsidRPr="008B6989">
        <w:rPr>
          <w:rFonts w:cs="Arial"/>
          <w:color w:val="auto"/>
          <w:szCs w:val="20"/>
        </w:rPr>
        <w:t xml:space="preserve">. </w:t>
      </w:r>
      <w:r w:rsidRPr="008B6989">
        <w:rPr>
          <w:rFonts w:cs="Arial"/>
          <w:b/>
          <w:bCs/>
          <w:color w:val="auto"/>
          <w:szCs w:val="20"/>
          <w:u w:val="single"/>
        </w:rPr>
        <w:t>Parties</w:t>
      </w:r>
      <w:r w:rsidRPr="008B6989">
        <w:rPr>
          <w:rFonts w:cs="Arial"/>
          <w:color w:val="auto"/>
          <w:szCs w:val="20"/>
        </w:rPr>
        <w:t>. “</w:t>
      </w:r>
      <w:r w:rsidRPr="008B6989">
        <w:rPr>
          <w:rFonts w:cs="Arial"/>
          <w:b/>
          <w:color w:val="auto"/>
          <w:szCs w:val="20"/>
        </w:rPr>
        <w:t>Hexagon</w:t>
      </w:r>
      <w:r w:rsidRPr="008B6989">
        <w:rPr>
          <w:rFonts w:cs="Arial"/>
          <w:color w:val="auto"/>
          <w:szCs w:val="20"/>
        </w:rPr>
        <w:t>” means Hexagon Mining Inc. or its affiliate indicated in the Order. “</w:t>
      </w:r>
      <w:r w:rsidRPr="008B6989">
        <w:rPr>
          <w:rFonts w:cs="Arial"/>
          <w:b/>
          <w:color w:val="auto"/>
          <w:szCs w:val="20"/>
        </w:rPr>
        <w:t>Client</w:t>
      </w:r>
      <w:r w:rsidRPr="008B6989">
        <w:rPr>
          <w:rFonts w:cs="Arial"/>
          <w:color w:val="auto"/>
          <w:szCs w:val="20"/>
        </w:rPr>
        <w:t>” refers to the entity identified in the Order, except as otherwise agreed between the parties in writing. Hexagon and Client may be individually referred to as a “party” or collectively as “parties”. Client expressly agrees the sole parties to the Contract are Client and only the specific Hexagon affiliate indicated in the Order and no other Hexagon affiliates are bound or responsible hereunder. Client agrees it is solely responsible for its, its affiliates, and its and their respective employees’ and contractors’ (collectively, “</w:t>
      </w:r>
      <w:r w:rsidRPr="008B6989">
        <w:rPr>
          <w:rFonts w:cs="Arial"/>
          <w:b/>
          <w:color w:val="auto"/>
          <w:szCs w:val="20"/>
        </w:rPr>
        <w:t>Client Parties</w:t>
      </w:r>
      <w:r w:rsidRPr="008B6989">
        <w:rPr>
          <w:rFonts w:cs="Arial"/>
          <w:color w:val="auto"/>
          <w:szCs w:val="20"/>
        </w:rPr>
        <w:t>”) use of the Hardware, Software, Services, Subscription, Maintenance and Renewals (collectively the “</w:t>
      </w:r>
      <w:r w:rsidRPr="008B6989">
        <w:rPr>
          <w:rFonts w:cs="Arial"/>
          <w:b/>
          <w:bCs/>
          <w:color w:val="auto"/>
          <w:szCs w:val="20"/>
        </w:rPr>
        <w:t>Products</w:t>
      </w:r>
      <w:r w:rsidRPr="008B6989">
        <w:rPr>
          <w:rFonts w:cs="Arial"/>
          <w:color w:val="auto"/>
          <w:szCs w:val="20"/>
        </w:rPr>
        <w:t>”) and compliance with this Contract.</w:t>
      </w:r>
    </w:p>
    <w:p w14:paraId="767DF814" w14:textId="77777777" w:rsidR="00ED2EDA" w:rsidRPr="008B6989" w:rsidRDefault="00ED2EDA" w:rsidP="00ED2EDA">
      <w:pPr>
        <w:jc w:val="both"/>
        <w:rPr>
          <w:rFonts w:cs="Arial"/>
          <w:color w:val="auto"/>
          <w:szCs w:val="20"/>
        </w:rPr>
      </w:pPr>
    </w:p>
    <w:p w14:paraId="59A30F4D" w14:textId="77777777" w:rsidR="00ED2EDA" w:rsidRPr="008B6989" w:rsidRDefault="00ED2EDA" w:rsidP="00ED2EDA">
      <w:pPr>
        <w:jc w:val="both"/>
        <w:rPr>
          <w:rFonts w:cs="Arial"/>
          <w:smallCaps/>
          <w:color w:val="auto"/>
          <w:szCs w:val="20"/>
        </w:rPr>
      </w:pPr>
      <w:r w:rsidRPr="008B6989">
        <w:rPr>
          <w:rFonts w:cs="Arial"/>
          <w:b/>
          <w:color w:val="auto"/>
          <w:szCs w:val="20"/>
        </w:rPr>
        <w:t>2</w:t>
      </w:r>
      <w:r w:rsidRPr="008B6989">
        <w:rPr>
          <w:rFonts w:cs="Arial"/>
          <w:color w:val="auto"/>
          <w:szCs w:val="20"/>
        </w:rPr>
        <w:t xml:space="preserve">. </w:t>
      </w:r>
      <w:r w:rsidRPr="008B6989">
        <w:rPr>
          <w:rFonts w:cs="Arial"/>
          <w:b/>
          <w:bCs/>
          <w:smallCaps/>
          <w:color w:val="auto"/>
          <w:szCs w:val="20"/>
          <w:u w:val="single"/>
        </w:rPr>
        <w:t>Important Notice of Personal Injury</w:t>
      </w:r>
      <w:r w:rsidRPr="008B6989">
        <w:rPr>
          <w:rFonts w:cs="Arial"/>
          <w:smallCaps/>
          <w:color w:val="auto"/>
          <w:szCs w:val="20"/>
        </w:rPr>
        <w:t xml:space="preserve">. All Hexagon Safety Products, including but not limited to traffic awareness, collision avoidance, fatigue monitoring systems, fleet management systems, high precision guidance and mine monitoring Products are intended as additional tools to assist in identifying potential danger and managing mining activity such as traffic threats. </w:t>
      </w:r>
      <w:r w:rsidRPr="008B6989">
        <w:rPr>
          <w:rFonts w:cs="Arial"/>
          <w:b/>
          <w:bCs/>
          <w:smallCaps/>
          <w:color w:val="auto"/>
          <w:szCs w:val="20"/>
        </w:rPr>
        <w:t>These Products are to support, not replace</w:t>
      </w:r>
      <w:r w:rsidRPr="008B6989">
        <w:rPr>
          <w:rFonts w:cs="Arial"/>
          <w:smallCaps/>
          <w:color w:val="auto"/>
          <w:szCs w:val="20"/>
        </w:rPr>
        <w:t xml:space="preserve">, an alert and conscientious driver, operator, or other qualified personnel. No Product can detect all threats within the detection window. </w:t>
      </w:r>
      <w:r w:rsidRPr="008B6989">
        <w:rPr>
          <w:rFonts w:cs="Arial"/>
          <w:b/>
          <w:bCs/>
          <w:smallCaps/>
          <w:color w:val="auto"/>
          <w:szCs w:val="20"/>
        </w:rPr>
        <w:t>Products are not designed as a substitute for proper safe driving and visual monitoring and scanning procedures</w:t>
      </w:r>
      <w:r w:rsidRPr="008B6989">
        <w:rPr>
          <w:rFonts w:cs="Arial"/>
          <w:smallCaps/>
          <w:color w:val="auto"/>
          <w:szCs w:val="20"/>
        </w:rPr>
        <w:t xml:space="preserve">. A vigilant, effective person is required at all times in all situations. The vehicle operator remains fully responsible for operating the vehicle and ensuring the safety of the passengers, pedestrians, and other traffic. Never use Hexagon Products for applications other than their intended and authorized use. Before installing, handling, using, or servicing any Product, review the data sheet, manuals, and application notes to ensure a comprehensive understanding of the operations and limitations of such Product. Failure to comply with these instructions could result in serious injury or death. </w:t>
      </w:r>
    </w:p>
    <w:p w14:paraId="5F8ED683" w14:textId="77777777" w:rsidR="00ED2EDA" w:rsidRPr="008B6989" w:rsidRDefault="00ED2EDA" w:rsidP="00ED2EDA">
      <w:pPr>
        <w:jc w:val="both"/>
        <w:rPr>
          <w:rFonts w:cs="Arial"/>
          <w:color w:val="auto"/>
          <w:szCs w:val="20"/>
        </w:rPr>
      </w:pPr>
    </w:p>
    <w:p w14:paraId="05C83BC1" w14:textId="77777777" w:rsidR="00ED2EDA" w:rsidRPr="008B6989" w:rsidRDefault="00ED2EDA" w:rsidP="00ED2EDA">
      <w:pPr>
        <w:pStyle w:val="DownerListNumber4"/>
        <w:numPr>
          <w:ilvl w:val="3"/>
          <w:numId w:val="0"/>
        </w:numPr>
        <w:rPr>
          <w:sz w:val="20"/>
          <w:szCs w:val="20"/>
        </w:rPr>
      </w:pPr>
      <w:r w:rsidRPr="008B6989">
        <w:rPr>
          <w:rFonts w:cs="Arial"/>
          <w:b/>
          <w:sz w:val="20"/>
          <w:szCs w:val="20"/>
        </w:rPr>
        <w:t>3</w:t>
      </w:r>
      <w:r w:rsidRPr="008B6989">
        <w:rPr>
          <w:rFonts w:cs="Arial"/>
          <w:sz w:val="20"/>
          <w:szCs w:val="20"/>
        </w:rPr>
        <w:t xml:space="preserve">. </w:t>
      </w:r>
      <w:r w:rsidRPr="008B6989">
        <w:rPr>
          <w:rFonts w:cs="Arial"/>
          <w:b/>
          <w:bCs/>
          <w:sz w:val="20"/>
          <w:szCs w:val="20"/>
          <w:u w:val="single"/>
        </w:rPr>
        <w:t>Orders</w:t>
      </w:r>
      <w:r w:rsidRPr="008B6989">
        <w:rPr>
          <w:rFonts w:cs="Arial"/>
          <w:sz w:val="20"/>
          <w:szCs w:val="20"/>
        </w:rPr>
        <w:t xml:space="preserve">. Hexagon will process the Order identifying the Products to be performed, licensed, purchased or leased, as the case may be, applicable pricing, requested shipment or provision dates as applicable for the Products quantity, term, and any other use restrictions. Unless otherwise noted on the Order, all Hardware and Software are licensed and leased on a subscription basis for the term set forth in the Order. </w:t>
      </w:r>
      <w:r w:rsidRPr="008B6989">
        <w:rPr>
          <w:rFonts w:cs="Arial"/>
          <w:b/>
          <w:bCs/>
          <w:sz w:val="20"/>
          <w:szCs w:val="20"/>
        </w:rPr>
        <w:t xml:space="preserve">Orders are </w:t>
      </w:r>
      <w:r w:rsidRPr="008B6989">
        <w:rPr>
          <w:rFonts w:cs="Arial"/>
          <w:b/>
          <w:bCs/>
          <w:sz w:val="20"/>
          <w:szCs w:val="20"/>
          <w:u w:val="single"/>
        </w:rPr>
        <w:t>non-cancellable and non-returnable</w:t>
      </w:r>
      <w:r w:rsidRPr="008B6989">
        <w:rPr>
          <w:rFonts w:cs="Arial"/>
          <w:b/>
          <w:bCs/>
          <w:sz w:val="20"/>
          <w:szCs w:val="20"/>
        </w:rPr>
        <w:t xml:space="preserve"> unless otherwise stated in the Order</w:t>
      </w:r>
      <w:r w:rsidRPr="008B6989">
        <w:rPr>
          <w:rFonts w:cs="Arial"/>
          <w:sz w:val="20"/>
          <w:szCs w:val="20"/>
        </w:rPr>
        <w:t xml:space="preserve">. </w:t>
      </w:r>
      <w:r w:rsidRPr="008B6989">
        <w:rPr>
          <w:sz w:val="20"/>
          <w:szCs w:val="20"/>
        </w:rPr>
        <w:t>If Hexagon considers that an Order issued is not consistent with the terms of this Agreement or with its Proposal / Quotation, Hexagon must provide, no later than ten (10)  Business Days after receipt of the Order, written notice to the Client, including details of the aspects of the Order that Hexagon considers are not consistent with this Contract. If Hexagon does not provide written notice in accordance in the time specified, Hexagon is deemed to have accepted the Order.</w:t>
      </w:r>
    </w:p>
    <w:p w14:paraId="6DA91E9F" w14:textId="77777777" w:rsidR="00ED2EDA" w:rsidRPr="008B6989" w:rsidRDefault="00ED2EDA" w:rsidP="00ED2EDA">
      <w:pPr>
        <w:pStyle w:val="DownerListNumber4"/>
        <w:numPr>
          <w:ilvl w:val="0"/>
          <w:numId w:val="0"/>
        </w:numPr>
        <w:rPr>
          <w:sz w:val="20"/>
          <w:szCs w:val="20"/>
        </w:rPr>
      </w:pPr>
    </w:p>
    <w:p w14:paraId="0488F3FE" w14:textId="4854BB4C" w:rsidR="00ED2EDA" w:rsidRPr="008B6989" w:rsidRDefault="00ED2EDA" w:rsidP="00ED2EDA">
      <w:pPr>
        <w:jc w:val="both"/>
        <w:rPr>
          <w:rFonts w:cs="Arial"/>
          <w:color w:val="auto"/>
          <w:szCs w:val="20"/>
        </w:rPr>
        <w:sectPr w:rsidR="00ED2EDA" w:rsidRPr="008B6989" w:rsidSect="00ED2EDA">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20" w:footer="720" w:gutter="0"/>
          <w:cols w:space="708"/>
          <w:docGrid w:linePitch="360"/>
        </w:sectPr>
      </w:pPr>
      <w:r w:rsidRPr="008B6989">
        <w:rPr>
          <w:rFonts w:cs="Arial"/>
          <w:b/>
          <w:color w:val="auto"/>
          <w:szCs w:val="20"/>
        </w:rPr>
        <w:t>4</w:t>
      </w:r>
      <w:r w:rsidRPr="008B6989">
        <w:rPr>
          <w:rFonts w:cs="Arial"/>
          <w:color w:val="auto"/>
          <w:szCs w:val="20"/>
        </w:rPr>
        <w:t xml:space="preserve">. </w:t>
      </w:r>
      <w:r w:rsidRPr="008B6989">
        <w:rPr>
          <w:rFonts w:cs="Arial"/>
          <w:b/>
          <w:bCs/>
          <w:color w:val="auto"/>
          <w:szCs w:val="20"/>
          <w:u w:val="single"/>
        </w:rPr>
        <w:t>Documentation</w:t>
      </w:r>
      <w:r w:rsidRPr="008B6989">
        <w:rPr>
          <w:rFonts w:eastAsia="Times New Roman" w:cs="Arial"/>
          <w:bCs/>
          <w:color w:val="auto"/>
          <w:szCs w:val="20"/>
        </w:rPr>
        <w:t>.</w:t>
      </w:r>
      <w:r w:rsidRPr="008B6989">
        <w:rPr>
          <w:rFonts w:cs="Arial"/>
          <w:color w:val="auto"/>
          <w:szCs w:val="20"/>
        </w:rPr>
        <w:t xml:space="preserve"> Hexagon will supply or otherwise make available electronically to Client all applicable operating manuals and safe working procedures (together, “</w:t>
      </w:r>
      <w:r w:rsidRPr="008B6989">
        <w:rPr>
          <w:rFonts w:cs="Arial"/>
          <w:b/>
          <w:color w:val="auto"/>
          <w:szCs w:val="20"/>
        </w:rPr>
        <w:t>Documentation</w:t>
      </w:r>
      <w:r w:rsidRPr="008B6989">
        <w:rPr>
          <w:rFonts w:cs="Arial"/>
          <w:color w:val="auto"/>
          <w:szCs w:val="20"/>
        </w:rPr>
        <w:t>”) for Products. Client must review the Documentation before using any Products. If Client does not receive or understand the Documentation, Client agrees to contact Hexagon prior to use or access to any Products. Client may copy or reproduce the Documentation as reasonably required to use Products during the applicable term. Client must ensure the copies clearly note the Documentation belongs to Hexagon and must not be reproduced except as expressly permitted by the Contract.</w:t>
      </w:r>
    </w:p>
    <w:p w14:paraId="6A2087F0" w14:textId="77777777" w:rsidR="00ED2EDA" w:rsidRPr="008B6989" w:rsidRDefault="00ED2EDA" w:rsidP="00ED2EDA">
      <w:pPr>
        <w:jc w:val="both"/>
        <w:rPr>
          <w:rFonts w:cs="Arial"/>
          <w:color w:val="auto"/>
          <w:szCs w:val="20"/>
        </w:rPr>
      </w:pPr>
      <w:r w:rsidRPr="008B6989">
        <w:rPr>
          <w:rFonts w:cs="Arial"/>
          <w:b/>
          <w:color w:val="auto"/>
          <w:szCs w:val="20"/>
        </w:rPr>
        <w:lastRenderedPageBreak/>
        <w:t>5</w:t>
      </w:r>
      <w:r w:rsidRPr="008B6989">
        <w:rPr>
          <w:rFonts w:cs="Arial"/>
          <w:color w:val="auto"/>
          <w:szCs w:val="20"/>
        </w:rPr>
        <w:t xml:space="preserve">. </w:t>
      </w:r>
      <w:r w:rsidRPr="008B6989">
        <w:rPr>
          <w:rFonts w:cs="Arial"/>
          <w:b/>
          <w:bCs/>
          <w:color w:val="auto"/>
          <w:szCs w:val="20"/>
          <w:u w:val="single"/>
        </w:rPr>
        <w:t>Data Transfers; Privacy</w:t>
      </w:r>
      <w:r w:rsidRPr="008B6989">
        <w:rPr>
          <w:rFonts w:cs="Arial"/>
          <w:color w:val="auto"/>
          <w:szCs w:val="20"/>
        </w:rPr>
        <w:t>. Client understands and agrees that certain Products may require the disclosure to and use of certain data by Hexagon regarding Client Parties. Under applicable law, such data is or may be considered personally identifiable or sensitive information, such as employee location and biometric facial data. Client is solely responsible to obtain required consents, provide required notices, and otherwise ensure it has the right to use and disclose such data to Hexagon under applicable laws, including without limitation the General Data Protection Regulation and any similar data privacy or security law in the applicable legal jurisdiction.</w:t>
      </w:r>
      <w:r w:rsidRPr="008B6989" w:rsidDel="005A04C4">
        <w:rPr>
          <w:rFonts w:cs="Arial"/>
          <w:color w:val="auto"/>
          <w:szCs w:val="20"/>
        </w:rPr>
        <w:t xml:space="preserve"> </w:t>
      </w:r>
      <w:r w:rsidRPr="008B6989">
        <w:rPr>
          <w:rFonts w:cs="Arial"/>
          <w:color w:val="auto"/>
          <w:szCs w:val="20"/>
        </w:rPr>
        <w:t xml:space="preserve">Hexagon is committed to the safe and secure processing of such data and compliance with applicable data protection law. Hexagon has implemented reasonable technical, administrative, and physical measures to help protect such data against loss or unlawful access. Hexagon collects, uses, and discloses data in accordance with its privacy policy, available here: </w:t>
      </w:r>
      <w:hyperlink r:id="rId14" w:history="1">
        <w:r w:rsidRPr="008B6989">
          <w:rPr>
            <w:rStyle w:val="Hyperlink"/>
            <w:rFonts w:cs="Arial"/>
            <w:color w:val="auto"/>
            <w:szCs w:val="20"/>
          </w:rPr>
          <w:t>https://hexagonmining.com/privacy-policy</w:t>
        </w:r>
      </w:hyperlink>
      <w:r w:rsidRPr="008B6989">
        <w:rPr>
          <w:rFonts w:cs="Arial"/>
          <w:color w:val="auto"/>
          <w:szCs w:val="20"/>
        </w:rPr>
        <w:t xml:space="preserve">. Unless otherwise agreed upon, Hexagon shall have the right to destroy personally identifiable information of the Client’s employees and contractors who operate the Client’s mine equipment after thirty (30) days, pursuant to Section 16.17 below. Hexagon shall process the personally identifiable information of the Client’s mine equipment operators only for the purposes set forth in the data privacy as applicable to the Products. </w:t>
      </w:r>
    </w:p>
    <w:p w14:paraId="7D0C01F0" w14:textId="77777777" w:rsidR="00ED2EDA" w:rsidRPr="008B6989" w:rsidRDefault="00ED2EDA" w:rsidP="00ED2EDA">
      <w:pPr>
        <w:jc w:val="both"/>
        <w:rPr>
          <w:rFonts w:cs="Arial"/>
          <w:color w:val="auto"/>
          <w:szCs w:val="20"/>
        </w:rPr>
      </w:pPr>
    </w:p>
    <w:p w14:paraId="50B348C6" w14:textId="77777777" w:rsidR="00ED2EDA" w:rsidRPr="008B6989" w:rsidRDefault="00ED2EDA" w:rsidP="00ED2EDA">
      <w:pPr>
        <w:jc w:val="both"/>
        <w:rPr>
          <w:rFonts w:cs="Arial"/>
          <w:color w:val="auto"/>
          <w:szCs w:val="20"/>
        </w:rPr>
      </w:pPr>
      <w:r w:rsidRPr="008B6989">
        <w:rPr>
          <w:rFonts w:cs="Arial"/>
          <w:b/>
          <w:color w:val="auto"/>
          <w:szCs w:val="20"/>
        </w:rPr>
        <w:t>6</w:t>
      </w:r>
      <w:r w:rsidRPr="008B6989">
        <w:rPr>
          <w:rFonts w:cs="Arial"/>
          <w:color w:val="auto"/>
          <w:szCs w:val="20"/>
        </w:rPr>
        <w:t xml:space="preserve">. </w:t>
      </w:r>
      <w:r w:rsidRPr="008B6989">
        <w:rPr>
          <w:rFonts w:cs="Arial"/>
          <w:b/>
          <w:bCs/>
          <w:color w:val="auto"/>
          <w:szCs w:val="20"/>
          <w:u w:val="single"/>
        </w:rPr>
        <w:t>Intellectual Property</w:t>
      </w:r>
      <w:r w:rsidRPr="008B6989">
        <w:rPr>
          <w:rFonts w:cs="Arial"/>
          <w:color w:val="auto"/>
          <w:szCs w:val="20"/>
        </w:rPr>
        <w:t>. No rights or licenses are granted to Client except as expressly set forth in the Contract. Hexagon or its licensor(s) own and retain all intellectual property (“</w:t>
      </w:r>
      <w:r w:rsidRPr="008B6989">
        <w:rPr>
          <w:rFonts w:cs="Arial"/>
          <w:b/>
          <w:color w:val="auto"/>
          <w:szCs w:val="20"/>
        </w:rPr>
        <w:t>IP</w:t>
      </w:r>
      <w:r w:rsidRPr="008B6989">
        <w:rPr>
          <w:rFonts w:cs="Arial"/>
          <w:color w:val="auto"/>
          <w:szCs w:val="20"/>
        </w:rPr>
        <w:t xml:space="preserve">”) rights in the Products (including all copies), including any modifications or derivatives to the same, whether made by Hexagon, Client, or a third party. This includes IP rights in the Products, Documentation, and industrial and IP rights throughout the world including copyright, patents, trademarks, designs, trade secrets, mask works, know-how, source codes, algorithms, moral rights, confidential information and circuit layouts. It also applies to all concepts, copyrights, developments, discoveries, derivatives, enhancements, improvements, innovations, inventions, techniques and other proprietary rights related to the Products and Documentation whether made by Hexagon, Client or third parties. These IP rights are protected by numerous local and international laws and treaties. Notwithstanding the foregoing, Client retains all IP rights in its data and corresponding data output from the Products. </w:t>
      </w:r>
    </w:p>
    <w:p w14:paraId="08FBC60D" w14:textId="77777777" w:rsidR="00ED2EDA" w:rsidRPr="008B6989" w:rsidRDefault="00ED2EDA" w:rsidP="00ED2EDA">
      <w:pPr>
        <w:jc w:val="both"/>
        <w:rPr>
          <w:rFonts w:cs="Arial"/>
          <w:color w:val="auto"/>
          <w:szCs w:val="20"/>
        </w:rPr>
      </w:pPr>
    </w:p>
    <w:p w14:paraId="3DE98656" w14:textId="77777777" w:rsidR="00ED2EDA" w:rsidRPr="008B6989" w:rsidRDefault="00ED2EDA" w:rsidP="00ED2EDA">
      <w:pPr>
        <w:ind w:left="567" w:hanging="387"/>
        <w:jc w:val="both"/>
        <w:rPr>
          <w:rFonts w:cs="Arial"/>
          <w:color w:val="auto"/>
          <w:szCs w:val="20"/>
        </w:rPr>
      </w:pPr>
      <w:r w:rsidRPr="008B6989">
        <w:rPr>
          <w:rFonts w:cs="Arial"/>
          <w:color w:val="auto"/>
          <w:szCs w:val="20"/>
        </w:rPr>
        <w:t xml:space="preserve">6.1. </w:t>
      </w:r>
      <w:r w:rsidRPr="008B6989">
        <w:rPr>
          <w:rFonts w:cs="Arial"/>
          <w:b/>
          <w:bCs/>
          <w:color w:val="auto"/>
          <w:szCs w:val="20"/>
          <w:u w:val="single"/>
        </w:rPr>
        <w:t>Work IP</w:t>
      </w:r>
      <w:r w:rsidRPr="008B6989">
        <w:rPr>
          <w:rFonts w:cs="Arial"/>
          <w:color w:val="auto"/>
          <w:szCs w:val="20"/>
        </w:rPr>
        <w:t>. Client agrees to notify Hexagon of any problems with the Products. In addition, Hexagon welcomes Client’s feedback and ideas for enhancements to the Products. Any Intellectual Property Rights that are created in the course of the performance of this Contract, including all additional software or work processes created by or on behalf of Hexagon, remains the property of Hexagon (“</w:t>
      </w:r>
      <w:r w:rsidRPr="008B6989">
        <w:rPr>
          <w:rFonts w:cs="Arial"/>
          <w:b/>
          <w:color w:val="auto"/>
          <w:szCs w:val="20"/>
        </w:rPr>
        <w:t>Work IP</w:t>
      </w:r>
      <w:r w:rsidRPr="008B6989">
        <w:rPr>
          <w:rFonts w:cs="Arial"/>
          <w:color w:val="auto"/>
          <w:szCs w:val="20"/>
        </w:rPr>
        <w:t xml:space="preserve">”). If Client provides Work IP, Client unconditionally and irrevocably assigns to Hexagon, its entire right, title and interest in and to all IP rights (including without limitation all patent, copyright, trade secret, mask work, trademark, source codes, algorithms, moral right or other IP rights) that Client may now or hereafter have in or relating to the Products (including any rights in derivative works or patent improvements relating to either of them), whether held or acquired by operation of law, contract, assignment or otherwise. Client understands that such Work IP may be used by or on behalf of Hexagon for any purpose, but Hexagon is not required to use any Work IP. </w:t>
      </w:r>
    </w:p>
    <w:p w14:paraId="42D37220" w14:textId="77777777" w:rsidR="00ED2EDA" w:rsidRPr="008B6989" w:rsidRDefault="00ED2EDA" w:rsidP="00ED2EDA">
      <w:pPr>
        <w:jc w:val="both"/>
        <w:rPr>
          <w:rFonts w:cs="Arial"/>
          <w:color w:val="auto"/>
          <w:szCs w:val="20"/>
        </w:rPr>
      </w:pPr>
    </w:p>
    <w:p w14:paraId="44CE0A25" w14:textId="77777777" w:rsidR="00ED2EDA" w:rsidRPr="008B6989" w:rsidRDefault="00ED2EDA" w:rsidP="00ED2EDA">
      <w:pPr>
        <w:jc w:val="both"/>
        <w:rPr>
          <w:rFonts w:cs="Arial"/>
          <w:color w:val="auto"/>
          <w:szCs w:val="20"/>
        </w:rPr>
      </w:pPr>
      <w:r w:rsidRPr="008B6989">
        <w:rPr>
          <w:rFonts w:cs="Arial"/>
          <w:b/>
          <w:color w:val="auto"/>
          <w:szCs w:val="20"/>
        </w:rPr>
        <w:t>7</w:t>
      </w:r>
      <w:r w:rsidRPr="008B6989">
        <w:rPr>
          <w:rFonts w:cs="Arial"/>
          <w:color w:val="auto"/>
          <w:szCs w:val="20"/>
        </w:rPr>
        <w:t xml:space="preserve">. </w:t>
      </w:r>
      <w:r w:rsidRPr="008B6989">
        <w:rPr>
          <w:rFonts w:cs="Arial"/>
          <w:b/>
          <w:bCs/>
          <w:color w:val="auto"/>
          <w:szCs w:val="20"/>
          <w:u w:val="single"/>
        </w:rPr>
        <w:t>Confidential Information</w:t>
      </w:r>
      <w:r w:rsidRPr="008B6989">
        <w:rPr>
          <w:rFonts w:cs="Arial"/>
          <w:color w:val="auto"/>
          <w:szCs w:val="20"/>
        </w:rPr>
        <w:t>. “</w:t>
      </w:r>
      <w:r w:rsidRPr="008B6989">
        <w:rPr>
          <w:rFonts w:cs="Arial"/>
          <w:b/>
          <w:color w:val="auto"/>
          <w:szCs w:val="20"/>
        </w:rPr>
        <w:t>CI</w:t>
      </w:r>
      <w:r w:rsidRPr="008B6989">
        <w:rPr>
          <w:rFonts w:cs="Arial"/>
          <w:color w:val="auto"/>
          <w:szCs w:val="20"/>
        </w:rPr>
        <w:t>” means trade secrets and other confidential information of either party, including without limitation Product specifications, Documentation, technologies, architectures, systems, data, formulas, know-how, processes, designs, source codes, algorithms, photographs, samples, research and development, price lists, customer information, market studies, proposals, negotiations, sales, budgets, financial information, and other information which by its nature is reasonably considered confidential. Both parties will use reasonable care to protect CI from unauthorized use and disclosure to any other party. Where CI is exchanged by the parties the confidentiality provisions set out in the Non-Disclosure Agreement attached to these General Terms and Conditions shall apply, whether disclosed from one Party to another under a Purchase, a Subscription or a Demonstration / Test basis.</w:t>
      </w:r>
    </w:p>
    <w:p w14:paraId="2F680316" w14:textId="77777777" w:rsidR="00ED2EDA" w:rsidRPr="008B6989" w:rsidRDefault="00ED2EDA" w:rsidP="00ED2EDA">
      <w:pPr>
        <w:ind w:left="180"/>
        <w:jc w:val="both"/>
        <w:rPr>
          <w:rFonts w:cs="Arial"/>
          <w:color w:val="auto"/>
          <w:szCs w:val="20"/>
        </w:rPr>
      </w:pPr>
    </w:p>
    <w:p w14:paraId="444B2E12" w14:textId="77777777" w:rsidR="00ED2EDA" w:rsidRPr="008B6989" w:rsidRDefault="00ED2EDA" w:rsidP="00ED2EDA">
      <w:pPr>
        <w:ind w:left="567" w:hanging="387"/>
        <w:jc w:val="both"/>
        <w:rPr>
          <w:rFonts w:cs="Arial"/>
          <w:color w:val="auto"/>
          <w:szCs w:val="20"/>
        </w:rPr>
      </w:pPr>
      <w:r w:rsidRPr="008B6989">
        <w:rPr>
          <w:rFonts w:cs="Arial"/>
          <w:color w:val="auto"/>
          <w:szCs w:val="20"/>
        </w:rPr>
        <w:t xml:space="preserve">7.1. </w:t>
      </w:r>
      <w:r w:rsidRPr="008B6989">
        <w:rPr>
          <w:rFonts w:cs="Arial"/>
          <w:b/>
          <w:bCs/>
          <w:color w:val="auto"/>
          <w:szCs w:val="20"/>
          <w:u w:val="single"/>
        </w:rPr>
        <w:t>Disclosure</w:t>
      </w:r>
      <w:r w:rsidRPr="008B6989">
        <w:rPr>
          <w:rFonts w:cs="Arial"/>
          <w:color w:val="auto"/>
          <w:szCs w:val="20"/>
        </w:rPr>
        <w:t>. The Client shall not disclose or use CI of Hexagon.  In addition, the Client shall employ reasonable measures to ensure the CI is kept confidential. Hexagon</w:t>
      </w:r>
      <w:r w:rsidRPr="008B6989" w:rsidDel="004B438B">
        <w:rPr>
          <w:rFonts w:cs="Arial"/>
          <w:color w:val="auto"/>
          <w:szCs w:val="20"/>
        </w:rPr>
        <w:t xml:space="preserve"> </w:t>
      </w:r>
      <w:r w:rsidRPr="008B6989">
        <w:rPr>
          <w:rFonts w:cs="Arial"/>
          <w:color w:val="auto"/>
          <w:szCs w:val="20"/>
        </w:rPr>
        <w:t>agrees the Client may share CI with personnel, officers, directors, and contractors as is reasonably necessary to perform under this Contract. CI may be disclosed if required by applicable law or the rules of a stock exchange on which the Client’s securities are listed, if the Client: (</w:t>
      </w:r>
      <w:proofErr w:type="spellStart"/>
      <w:r w:rsidRPr="008B6989">
        <w:rPr>
          <w:rFonts w:cs="Arial"/>
          <w:color w:val="auto"/>
          <w:szCs w:val="20"/>
        </w:rPr>
        <w:t>i</w:t>
      </w:r>
      <w:proofErr w:type="spellEnd"/>
      <w:r w:rsidRPr="008B6989">
        <w:rPr>
          <w:rFonts w:cs="Arial"/>
          <w:color w:val="auto"/>
          <w:szCs w:val="20"/>
        </w:rPr>
        <w:t xml:space="preserve">) before disclosing CI, </w:t>
      </w:r>
      <w:r w:rsidRPr="008B6989">
        <w:rPr>
          <w:rFonts w:cs="Arial"/>
          <w:color w:val="auto"/>
          <w:szCs w:val="20"/>
        </w:rPr>
        <w:lastRenderedPageBreak/>
        <w:t xml:space="preserve">gives reasonable notice to Hexagon, fully cooperates with Hexagon in its efforts to prevent disclosure, and takes all reasonable steps (whether required by Hexagon or not) to maintain that CI in confidence; and (ii) discloses the minimum amount of CI required to satisfy any applicable law or rules. Notwithstanding the foregoing, in no event will Client disclose Hexagon CI to any competitor of Hexagon. </w:t>
      </w:r>
    </w:p>
    <w:p w14:paraId="13334288" w14:textId="77777777" w:rsidR="00ED2EDA" w:rsidRPr="008B6989" w:rsidRDefault="00ED2EDA" w:rsidP="00ED2EDA">
      <w:pPr>
        <w:ind w:left="567" w:hanging="387"/>
        <w:jc w:val="both"/>
        <w:rPr>
          <w:rFonts w:cs="Arial"/>
          <w:color w:val="auto"/>
          <w:szCs w:val="20"/>
        </w:rPr>
      </w:pPr>
    </w:p>
    <w:p w14:paraId="308C14A7" w14:textId="77777777" w:rsidR="00ED2EDA" w:rsidRPr="008B6989" w:rsidRDefault="00ED2EDA" w:rsidP="00ED2EDA">
      <w:pPr>
        <w:ind w:left="567" w:hanging="387"/>
        <w:jc w:val="both"/>
        <w:rPr>
          <w:rFonts w:cs="Arial"/>
          <w:color w:val="auto"/>
          <w:szCs w:val="20"/>
        </w:rPr>
      </w:pPr>
      <w:r w:rsidRPr="008B6989">
        <w:rPr>
          <w:rFonts w:cs="Arial"/>
          <w:color w:val="auto"/>
          <w:szCs w:val="20"/>
        </w:rPr>
        <w:t xml:space="preserve">7.2 </w:t>
      </w:r>
      <w:r w:rsidRPr="008B6989">
        <w:rPr>
          <w:rFonts w:cs="Arial"/>
          <w:b/>
          <w:bCs/>
          <w:color w:val="auto"/>
          <w:szCs w:val="20"/>
          <w:u w:val="single"/>
        </w:rPr>
        <w:t>CI Exceptions</w:t>
      </w:r>
      <w:r w:rsidRPr="008B6989">
        <w:rPr>
          <w:rFonts w:cs="Arial"/>
          <w:color w:val="auto"/>
          <w:szCs w:val="20"/>
        </w:rPr>
        <w:t>. CI does not include information (</w:t>
      </w:r>
      <w:proofErr w:type="spellStart"/>
      <w:r w:rsidRPr="008B6989">
        <w:rPr>
          <w:rFonts w:cs="Arial"/>
          <w:color w:val="auto"/>
          <w:szCs w:val="20"/>
        </w:rPr>
        <w:t>i</w:t>
      </w:r>
      <w:proofErr w:type="spellEnd"/>
      <w:r w:rsidRPr="008B6989">
        <w:rPr>
          <w:rFonts w:cs="Arial"/>
          <w:color w:val="auto"/>
          <w:szCs w:val="20"/>
        </w:rPr>
        <w:t>) in the public domain otherwise than as a result of a breach of this Contract or another obligation of confidence; (ii) independently developed by the Client without access to or use of the Hexagon’s CI; or (iii) already known by the Client independently of its interaction with Hexagon and free of any obligation of confidence.</w:t>
      </w:r>
    </w:p>
    <w:p w14:paraId="09011BD2" w14:textId="77777777" w:rsidR="00ED2EDA" w:rsidRPr="008B6989" w:rsidRDefault="00ED2EDA" w:rsidP="00ED2EDA">
      <w:pPr>
        <w:ind w:left="567" w:hanging="387"/>
        <w:jc w:val="both"/>
        <w:rPr>
          <w:rFonts w:cs="Arial"/>
          <w:color w:val="auto"/>
          <w:szCs w:val="20"/>
        </w:rPr>
      </w:pPr>
    </w:p>
    <w:p w14:paraId="0A94EFE7" w14:textId="77777777" w:rsidR="00ED2EDA" w:rsidRPr="008B6989" w:rsidRDefault="00ED2EDA" w:rsidP="00ED2EDA">
      <w:pPr>
        <w:ind w:left="567" w:hanging="387"/>
        <w:jc w:val="both"/>
        <w:rPr>
          <w:rFonts w:cs="Arial"/>
          <w:color w:val="auto"/>
          <w:szCs w:val="20"/>
        </w:rPr>
      </w:pPr>
      <w:r w:rsidRPr="008B6989">
        <w:rPr>
          <w:rFonts w:cs="Arial"/>
          <w:color w:val="auto"/>
          <w:szCs w:val="20"/>
        </w:rPr>
        <w:t xml:space="preserve">7.3 </w:t>
      </w:r>
      <w:r w:rsidRPr="008B6989">
        <w:rPr>
          <w:rFonts w:cs="Arial"/>
          <w:b/>
          <w:bCs/>
          <w:color w:val="auto"/>
          <w:szCs w:val="20"/>
          <w:u w:val="single"/>
        </w:rPr>
        <w:t>Destruction and/or</w:t>
      </w:r>
      <w:r w:rsidRPr="008B6989">
        <w:rPr>
          <w:rFonts w:cs="Arial"/>
          <w:color w:val="auto"/>
          <w:szCs w:val="20"/>
          <w:u w:val="single"/>
        </w:rPr>
        <w:t xml:space="preserve"> </w:t>
      </w:r>
      <w:r w:rsidRPr="008B6989">
        <w:rPr>
          <w:rFonts w:cs="Arial"/>
          <w:b/>
          <w:bCs/>
          <w:color w:val="auto"/>
          <w:szCs w:val="20"/>
          <w:u w:val="single"/>
        </w:rPr>
        <w:t>Return of CI</w:t>
      </w:r>
      <w:r w:rsidRPr="008B6989">
        <w:rPr>
          <w:rFonts w:cs="Arial"/>
          <w:b/>
          <w:bCs/>
          <w:color w:val="auto"/>
          <w:szCs w:val="20"/>
        </w:rPr>
        <w:t>.</w:t>
      </w:r>
      <w:r w:rsidRPr="008B6989">
        <w:rPr>
          <w:rFonts w:cs="Arial"/>
          <w:color w:val="auto"/>
          <w:szCs w:val="20"/>
        </w:rPr>
        <w:t xml:space="preserve"> The Client shall destroy or return CI in its possession (other than CI necessary to use the Products in accordance with the Contract for as long as the Contract gives the right to use the Products) upon termination of the Contract or upon written request of Hexagon. Notwithstanding the foregoing, within ten (10) business days of termination of this Contract or the relevant Order, all documents or records including all CI must be returned to the Party to whom it belongs or destroyed, if requested by such party.</w:t>
      </w:r>
    </w:p>
    <w:p w14:paraId="0EC435A1" w14:textId="77777777" w:rsidR="00ED2EDA" w:rsidRPr="008B6989" w:rsidRDefault="00ED2EDA" w:rsidP="00ED2EDA">
      <w:pPr>
        <w:jc w:val="both"/>
        <w:rPr>
          <w:color w:val="auto"/>
        </w:rPr>
      </w:pPr>
    </w:p>
    <w:p w14:paraId="184A2A9F" w14:textId="77777777" w:rsidR="00ED2EDA" w:rsidRPr="008B6989" w:rsidRDefault="00ED2EDA" w:rsidP="00ED2EDA">
      <w:pPr>
        <w:rPr>
          <w:rFonts w:cs="Arial"/>
          <w:color w:val="auto"/>
          <w:szCs w:val="20"/>
        </w:rPr>
      </w:pPr>
      <w:r w:rsidRPr="008B6989">
        <w:rPr>
          <w:rFonts w:cs="Arial"/>
          <w:b/>
          <w:color w:val="auto"/>
          <w:szCs w:val="20"/>
        </w:rPr>
        <w:t>8</w:t>
      </w:r>
      <w:r w:rsidRPr="008B6989">
        <w:rPr>
          <w:rFonts w:cs="Arial"/>
          <w:bCs/>
          <w:color w:val="auto"/>
          <w:szCs w:val="20"/>
        </w:rPr>
        <w:t xml:space="preserve">. </w:t>
      </w:r>
      <w:r w:rsidRPr="008B6989">
        <w:rPr>
          <w:rFonts w:cs="Arial"/>
          <w:b/>
          <w:bCs/>
          <w:color w:val="auto"/>
          <w:szCs w:val="20"/>
          <w:u w:val="single"/>
        </w:rPr>
        <w:t>Parties’ Representations</w:t>
      </w:r>
      <w:r w:rsidRPr="008B6989">
        <w:rPr>
          <w:rFonts w:cs="Arial"/>
          <w:color w:val="auto"/>
          <w:szCs w:val="20"/>
        </w:rPr>
        <w:t>.</w:t>
      </w:r>
    </w:p>
    <w:p w14:paraId="7051D406" w14:textId="77777777" w:rsidR="00ED2EDA" w:rsidRPr="008B6989" w:rsidRDefault="00ED2EDA" w:rsidP="00ED2EDA">
      <w:pPr>
        <w:ind w:left="180"/>
        <w:jc w:val="both"/>
        <w:rPr>
          <w:rFonts w:cs="Arial"/>
          <w:color w:val="auto"/>
          <w:szCs w:val="20"/>
        </w:rPr>
      </w:pPr>
    </w:p>
    <w:p w14:paraId="0E3FE836" w14:textId="77777777" w:rsidR="00ED2EDA" w:rsidRPr="008B6989" w:rsidRDefault="00ED2EDA" w:rsidP="00ED2EDA">
      <w:pPr>
        <w:ind w:left="180"/>
        <w:jc w:val="both"/>
        <w:rPr>
          <w:rFonts w:cs="Arial"/>
          <w:color w:val="auto"/>
          <w:szCs w:val="20"/>
        </w:rPr>
      </w:pPr>
      <w:r w:rsidRPr="008B6989">
        <w:rPr>
          <w:rFonts w:cs="Arial"/>
          <w:color w:val="auto"/>
          <w:szCs w:val="20"/>
        </w:rPr>
        <w:t xml:space="preserve">8.1. </w:t>
      </w:r>
      <w:r w:rsidRPr="008B6989">
        <w:rPr>
          <w:rFonts w:cs="Arial"/>
          <w:b/>
          <w:bCs/>
          <w:color w:val="auto"/>
          <w:szCs w:val="20"/>
          <w:u w:val="single"/>
        </w:rPr>
        <w:t>Hexagon’s General Representations</w:t>
      </w:r>
      <w:r w:rsidRPr="008B6989">
        <w:rPr>
          <w:rFonts w:cs="Arial"/>
          <w:color w:val="auto"/>
          <w:szCs w:val="20"/>
        </w:rPr>
        <w:t xml:space="preserve">. Hexagon represents and warrants that </w:t>
      </w:r>
    </w:p>
    <w:p w14:paraId="44BC272C" w14:textId="77777777" w:rsidR="00ED2EDA" w:rsidRPr="008B6989" w:rsidRDefault="00ED2EDA" w:rsidP="00ED2EDA">
      <w:pPr>
        <w:ind w:left="180"/>
        <w:jc w:val="both"/>
        <w:rPr>
          <w:rFonts w:cs="Arial"/>
          <w:color w:val="auto"/>
          <w:szCs w:val="20"/>
        </w:rPr>
      </w:pPr>
    </w:p>
    <w:p w14:paraId="0137AEBC" w14:textId="77777777" w:rsidR="00ED2EDA" w:rsidRPr="008B6989" w:rsidRDefault="00ED2EDA" w:rsidP="00ED2EDA">
      <w:pPr>
        <w:ind w:left="993" w:hanging="426"/>
        <w:jc w:val="both"/>
        <w:rPr>
          <w:rFonts w:cs="Arial"/>
          <w:color w:val="auto"/>
          <w:szCs w:val="20"/>
        </w:rPr>
      </w:pPr>
      <w:r w:rsidRPr="008B6989">
        <w:rPr>
          <w:rFonts w:cs="Arial"/>
          <w:color w:val="auto"/>
          <w:szCs w:val="20"/>
        </w:rPr>
        <w:t xml:space="preserve">(A) </w:t>
      </w:r>
      <w:r w:rsidRPr="008B6989">
        <w:rPr>
          <w:rFonts w:cs="Arial"/>
          <w:color w:val="auto"/>
          <w:szCs w:val="20"/>
        </w:rPr>
        <w:tab/>
        <w:t xml:space="preserve">It has the legal right to enter into this Contract and will comply with all applicable laws, rules, regulations, and other requirements of the United States and of any applicable state, foreign, and local government body regarding the sale or subscription of the Products; </w:t>
      </w:r>
    </w:p>
    <w:p w14:paraId="50371D6A" w14:textId="77777777" w:rsidR="00ED2EDA" w:rsidRPr="008B6989" w:rsidRDefault="00ED2EDA" w:rsidP="00ED2EDA">
      <w:pPr>
        <w:ind w:left="993" w:hanging="426"/>
        <w:jc w:val="both"/>
        <w:rPr>
          <w:rFonts w:cs="Arial"/>
          <w:color w:val="auto"/>
          <w:szCs w:val="20"/>
        </w:rPr>
      </w:pPr>
    </w:p>
    <w:p w14:paraId="6D705169" w14:textId="77777777" w:rsidR="00ED2EDA" w:rsidRPr="008B6989" w:rsidRDefault="00ED2EDA" w:rsidP="00ED2EDA">
      <w:pPr>
        <w:ind w:left="993" w:hanging="426"/>
        <w:jc w:val="both"/>
        <w:rPr>
          <w:rFonts w:cs="Arial"/>
          <w:color w:val="auto"/>
          <w:szCs w:val="20"/>
        </w:rPr>
      </w:pPr>
      <w:r w:rsidRPr="008B6989">
        <w:rPr>
          <w:rFonts w:cs="Arial"/>
          <w:color w:val="auto"/>
          <w:szCs w:val="20"/>
        </w:rPr>
        <w:t xml:space="preserve">(B) </w:t>
      </w:r>
      <w:r w:rsidRPr="008B6989">
        <w:rPr>
          <w:rFonts w:cs="Arial"/>
          <w:color w:val="auto"/>
          <w:szCs w:val="20"/>
        </w:rPr>
        <w:tab/>
        <w:t>It will comply with all applicable laws, statutes, regulations, and codes relating to anti-bribery and anti-corruption, including but not limited to the UK Bribery Act 2010, the U.S. Foreign Corrupt Practices Act, the Australia Bribery of Foreign Public Officials Act 1999, and any other relevant law. Hexagon warrants that it has and will at all times maintain adequate policies and procedures to ensure such compliance.</w:t>
      </w:r>
    </w:p>
    <w:p w14:paraId="08F00FA6" w14:textId="77777777" w:rsidR="00ED2EDA" w:rsidRPr="008B6989" w:rsidRDefault="00ED2EDA" w:rsidP="00ED2EDA">
      <w:pPr>
        <w:ind w:left="180"/>
        <w:jc w:val="both"/>
        <w:rPr>
          <w:rFonts w:cs="Arial"/>
          <w:color w:val="auto"/>
          <w:szCs w:val="20"/>
        </w:rPr>
      </w:pPr>
    </w:p>
    <w:p w14:paraId="7C95195C" w14:textId="77777777" w:rsidR="00ED2EDA" w:rsidRPr="008B6989" w:rsidRDefault="00ED2EDA" w:rsidP="00ED2EDA">
      <w:pPr>
        <w:ind w:left="180"/>
        <w:jc w:val="both"/>
        <w:rPr>
          <w:rFonts w:cs="Arial"/>
          <w:color w:val="auto"/>
          <w:szCs w:val="20"/>
        </w:rPr>
      </w:pPr>
      <w:r w:rsidRPr="008B6989">
        <w:rPr>
          <w:rFonts w:cs="Arial"/>
          <w:color w:val="auto"/>
          <w:szCs w:val="20"/>
        </w:rPr>
        <w:t xml:space="preserve">8.2. </w:t>
      </w:r>
      <w:r w:rsidRPr="008B6989">
        <w:rPr>
          <w:rFonts w:cs="Arial"/>
          <w:b/>
          <w:bCs/>
          <w:color w:val="auto"/>
          <w:szCs w:val="20"/>
          <w:u w:val="single"/>
        </w:rPr>
        <w:t>Client’s General Representations</w:t>
      </w:r>
      <w:r w:rsidRPr="008B6989">
        <w:rPr>
          <w:rFonts w:cs="Arial"/>
          <w:color w:val="auto"/>
          <w:szCs w:val="20"/>
        </w:rPr>
        <w:t>. Client represents and warrants that:</w:t>
      </w:r>
    </w:p>
    <w:p w14:paraId="7EFAD840" w14:textId="77777777" w:rsidR="00ED2EDA" w:rsidRPr="008B6989" w:rsidRDefault="00ED2EDA" w:rsidP="00ED2EDA">
      <w:pPr>
        <w:pStyle w:val="ListParagraph"/>
        <w:ind w:left="360"/>
        <w:jc w:val="both"/>
        <w:rPr>
          <w:rFonts w:ascii="Arial" w:hAnsi="Arial" w:cs="Arial"/>
          <w:sz w:val="20"/>
          <w:szCs w:val="20"/>
        </w:rPr>
      </w:pPr>
    </w:p>
    <w:p w14:paraId="78471CF0" w14:textId="77777777" w:rsidR="00ED2EDA" w:rsidRPr="008B6989" w:rsidRDefault="00ED2EDA" w:rsidP="00ED2EDA">
      <w:pPr>
        <w:pStyle w:val="ListParagraph"/>
        <w:ind w:left="993" w:hanging="426"/>
        <w:jc w:val="both"/>
        <w:rPr>
          <w:rFonts w:ascii="Arial" w:hAnsi="Arial" w:cs="Arial"/>
          <w:sz w:val="20"/>
          <w:szCs w:val="20"/>
        </w:rPr>
      </w:pPr>
      <w:r w:rsidRPr="008B6989">
        <w:rPr>
          <w:rFonts w:ascii="Arial" w:hAnsi="Arial" w:cs="Arial"/>
          <w:sz w:val="20"/>
          <w:szCs w:val="20"/>
        </w:rPr>
        <w:t xml:space="preserve">(A) It has the legal right to enter into this Contract and will comply with all applicable laws, rules, regulations, and other requirements of any applicable state, foreign, and local government body regarding the purchase, license, receipt, use and disposal of the Products and will at all times maintain adequate policies and procedures to ensure such compliance; </w:t>
      </w:r>
    </w:p>
    <w:p w14:paraId="5B2E0F9B" w14:textId="77777777" w:rsidR="00ED2EDA" w:rsidRPr="008B6989" w:rsidRDefault="00ED2EDA" w:rsidP="00ED2EDA">
      <w:pPr>
        <w:ind w:left="993" w:hanging="426"/>
        <w:jc w:val="both"/>
        <w:rPr>
          <w:rFonts w:cs="Arial"/>
          <w:color w:val="auto"/>
          <w:szCs w:val="20"/>
        </w:rPr>
      </w:pPr>
    </w:p>
    <w:p w14:paraId="1119A738" w14:textId="77777777" w:rsidR="00ED2EDA" w:rsidRPr="008B6989" w:rsidRDefault="00ED2EDA" w:rsidP="00ED2EDA">
      <w:pPr>
        <w:ind w:left="993" w:hanging="426"/>
        <w:jc w:val="both"/>
        <w:rPr>
          <w:rFonts w:cs="Arial"/>
          <w:color w:val="auto"/>
          <w:szCs w:val="20"/>
        </w:rPr>
      </w:pPr>
      <w:r w:rsidRPr="008B6989">
        <w:rPr>
          <w:rFonts w:cs="Arial"/>
          <w:color w:val="auto"/>
          <w:szCs w:val="20"/>
        </w:rPr>
        <w:t>(B) It will not carry, bring, export, transfer, or in any way convey Hexagon products to any country or territory where such presence is forbidden by international policies or export laws as set by all countries whose laws are applicable;</w:t>
      </w:r>
    </w:p>
    <w:p w14:paraId="2030D721" w14:textId="77777777" w:rsidR="00ED2EDA" w:rsidRPr="008B6989" w:rsidRDefault="00ED2EDA" w:rsidP="00ED2EDA">
      <w:pPr>
        <w:ind w:left="993" w:hanging="426"/>
        <w:jc w:val="both"/>
        <w:rPr>
          <w:rFonts w:cs="Arial"/>
          <w:color w:val="auto"/>
          <w:szCs w:val="20"/>
        </w:rPr>
      </w:pPr>
    </w:p>
    <w:p w14:paraId="0CB9C0EB" w14:textId="77777777" w:rsidR="00ED2EDA" w:rsidRPr="008B6989" w:rsidRDefault="00ED2EDA" w:rsidP="00ED2EDA">
      <w:pPr>
        <w:ind w:left="993" w:hanging="426"/>
        <w:jc w:val="both"/>
        <w:rPr>
          <w:rFonts w:cs="Arial"/>
          <w:color w:val="auto"/>
          <w:szCs w:val="20"/>
        </w:rPr>
      </w:pPr>
      <w:r w:rsidRPr="008B6989">
        <w:rPr>
          <w:rFonts w:cs="Arial"/>
          <w:color w:val="auto"/>
          <w:szCs w:val="20"/>
        </w:rPr>
        <w:t>(C) It will comply with all applicable laws, statutes, regulations, and codes relating to anti-bribery and anti-corruption, including but not limited to the UK Bribery Act 2010, the U.S. Foreign Corrupt Practices Act, the Australia Bribery of Foreign Public Officials Act 1999, and any other relevant law. Client warrants that it has and will at all times maintain adequate policies and procedures to ensure such compliance.</w:t>
      </w:r>
    </w:p>
    <w:p w14:paraId="4D2AA620" w14:textId="77777777" w:rsidR="00ED2EDA" w:rsidRPr="008B6989" w:rsidRDefault="00ED2EDA" w:rsidP="00ED2EDA">
      <w:pPr>
        <w:ind w:left="993" w:hanging="426"/>
        <w:jc w:val="both"/>
        <w:rPr>
          <w:rFonts w:cs="Arial"/>
          <w:color w:val="auto"/>
          <w:szCs w:val="20"/>
        </w:rPr>
      </w:pPr>
    </w:p>
    <w:p w14:paraId="783400A6" w14:textId="77777777" w:rsidR="00ED2EDA" w:rsidRPr="008B6989" w:rsidRDefault="00ED2EDA" w:rsidP="00ED2EDA">
      <w:pPr>
        <w:ind w:left="993" w:hanging="426"/>
        <w:jc w:val="both"/>
        <w:rPr>
          <w:rFonts w:cs="Arial"/>
          <w:color w:val="auto"/>
          <w:szCs w:val="20"/>
        </w:rPr>
      </w:pPr>
      <w:r w:rsidRPr="008B6989">
        <w:rPr>
          <w:rFonts w:cs="Arial"/>
          <w:color w:val="auto"/>
          <w:szCs w:val="20"/>
        </w:rPr>
        <w:t xml:space="preserve">(D) It will not sublicense, assign, resell, share, pledge, rent, gift, or otherwise transfer or grant any rights in the Products or related Documentation or components in any form to any person not a party to this Contract (except permitted assignees), or use the Products on a service bureau or time sharing arrangement without the prior written consent of Hexagon; </w:t>
      </w:r>
    </w:p>
    <w:p w14:paraId="7E09D723" w14:textId="77777777" w:rsidR="00ED2EDA" w:rsidRPr="008B6989" w:rsidRDefault="00ED2EDA" w:rsidP="00ED2EDA">
      <w:pPr>
        <w:ind w:left="993" w:hanging="426"/>
        <w:jc w:val="both"/>
        <w:rPr>
          <w:rFonts w:cs="Arial"/>
          <w:color w:val="auto"/>
          <w:szCs w:val="20"/>
        </w:rPr>
      </w:pPr>
    </w:p>
    <w:p w14:paraId="5A8F5D36" w14:textId="77777777" w:rsidR="00ED2EDA" w:rsidRPr="008B6989" w:rsidRDefault="00ED2EDA" w:rsidP="00ED2EDA">
      <w:pPr>
        <w:ind w:left="993" w:hanging="426"/>
        <w:jc w:val="both"/>
        <w:rPr>
          <w:rFonts w:cs="Arial"/>
          <w:color w:val="auto"/>
          <w:szCs w:val="20"/>
        </w:rPr>
      </w:pPr>
      <w:r w:rsidRPr="008B6989">
        <w:rPr>
          <w:rFonts w:cs="Arial"/>
          <w:color w:val="auto"/>
          <w:szCs w:val="20"/>
        </w:rPr>
        <w:t>(E) It is solely responsible for the accuracy, reliability, and sufficiency of all data and specifications provided to Hexagon and for any decision making by Client as a result of such data or specifications or any Product.</w:t>
      </w:r>
    </w:p>
    <w:p w14:paraId="6736B871" w14:textId="77777777" w:rsidR="00ED2EDA" w:rsidRPr="008B6989" w:rsidRDefault="00ED2EDA" w:rsidP="00ED2EDA">
      <w:pPr>
        <w:jc w:val="both"/>
        <w:rPr>
          <w:rFonts w:cs="Arial"/>
          <w:b/>
          <w:color w:val="auto"/>
          <w:szCs w:val="20"/>
        </w:rPr>
      </w:pPr>
      <w:r w:rsidRPr="008B6989">
        <w:rPr>
          <w:rFonts w:cs="Arial"/>
          <w:b/>
          <w:smallCaps/>
          <w:color w:val="auto"/>
          <w:szCs w:val="20"/>
        </w:rPr>
        <w:lastRenderedPageBreak/>
        <w:t>9.</w:t>
      </w:r>
      <w:r w:rsidRPr="008B6989">
        <w:rPr>
          <w:rFonts w:cs="Arial"/>
          <w:b/>
          <w:smallCaps/>
          <w:color w:val="auto"/>
          <w:szCs w:val="20"/>
          <w:u w:val="single"/>
        </w:rPr>
        <w:t xml:space="preserve"> </w:t>
      </w:r>
      <w:r w:rsidRPr="008B6989">
        <w:rPr>
          <w:rFonts w:cs="Arial"/>
          <w:b/>
          <w:bCs/>
          <w:smallCaps/>
          <w:color w:val="auto"/>
          <w:szCs w:val="20"/>
          <w:u w:val="single"/>
        </w:rPr>
        <w:t>Limitation of Liability</w:t>
      </w:r>
      <w:r w:rsidRPr="008B6989">
        <w:rPr>
          <w:rFonts w:cs="Arial"/>
          <w:b/>
          <w:color w:val="auto"/>
          <w:szCs w:val="20"/>
        </w:rPr>
        <w:t>.</w:t>
      </w:r>
    </w:p>
    <w:p w14:paraId="394EC801" w14:textId="77777777" w:rsidR="00ED2EDA" w:rsidRPr="008B6989" w:rsidRDefault="00ED2EDA" w:rsidP="00ED2EDA">
      <w:pPr>
        <w:ind w:left="180"/>
        <w:jc w:val="both"/>
        <w:rPr>
          <w:rFonts w:cs="Arial"/>
          <w:smallCaps/>
          <w:color w:val="auto"/>
          <w:szCs w:val="20"/>
        </w:rPr>
      </w:pPr>
    </w:p>
    <w:p w14:paraId="1E5B98FF" w14:textId="77777777" w:rsidR="00ED2EDA" w:rsidRPr="008B6989" w:rsidRDefault="00ED2EDA" w:rsidP="00ED2EDA">
      <w:pPr>
        <w:ind w:left="567" w:hanging="387"/>
        <w:jc w:val="both"/>
        <w:rPr>
          <w:rFonts w:cs="Arial"/>
          <w:smallCaps/>
          <w:color w:val="auto"/>
          <w:szCs w:val="20"/>
        </w:rPr>
      </w:pPr>
      <w:r w:rsidRPr="008B6989">
        <w:rPr>
          <w:rFonts w:cs="Arial"/>
          <w:smallCaps/>
          <w:color w:val="auto"/>
          <w:szCs w:val="20"/>
        </w:rPr>
        <w:t xml:space="preserve">9.1. </w:t>
      </w:r>
      <w:r w:rsidRPr="008B6989">
        <w:rPr>
          <w:rFonts w:cs="Arial"/>
          <w:b/>
          <w:bCs/>
          <w:smallCaps/>
          <w:color w:val="auto"/>
          <w:szCs w:val="20"/>
        </w:rPr>
        <w:t>Consequential and Other Losses.</w:t>
      </w:r>
      <w:r w:rsidRPr="008B6989">
        <w:rPr>
          <w:rFonts w:cs="Arial"/>
          <w:smallCaps/>
          <w:color w:val="auto"/>
          <w:szCs w:val="20"/>
        </w:rPr>
        <w:t xml:space="preserve"> In no event will either party or its employees, agents, directors or officers be liable to the other party or any third party, whether based in contract or tort (including negligence) or otherwise, for incidental, consequential, indirect, special, exemplary, or punitive damages of any kind, or costs of procurement of substitute Products, or for the loss of revenue, profits (both direct and indirect), business, data, or other financial loss arising out of or relating to this Contract, even if the party had been advised of the possibility of such damages. </w:t>
      </w:r>
    </w:p>
    <w:p w14:paraId="3B091ED1" w14:textId="77777777" w:rsidR="00ED2EDA" w:rsidRPr="008B6989" w:rsidRDefault="00ED2EDA" w:rsidP="00ED2EDA">
      <w:pPr>
        <w:ind w:left="567" w:hanging="387"/>
        <w:jc w:val="both"/>
        <w:rPr>
          <w:rFonts w:cs="Arial"/>
          <w:smallCaps/>
          <w:color w:val="auto"/>
          <w:szCs w:val="20"/>
        </w:rPr>
      </w:pPr>
    </w:p>
    <w:p w14:paraId="67F009E5" w14:textId="77777777" w:rsidR="00ED2EDA" w:rsidRPr="008B6989" w:rsidRDefault="00ED2EDA" w:rsidP="00ED2EDA">
      <w:pPr>
        <w:ind w:left="567" w:hanging="387"/>
        <w:jc w:val="both"/>
        <w:rPr>
          <w:rFonts w:cs="Arial"/>
          <w:smallCaps/>
          <w:color w:val="auto"/>
          <w:szCs w:val="20"/>
        </w:rPr>
      </w:pPr>
      <w:r w:rsidRPr="008B6989">
        <w:rPr>
          <w:rFonts w:cs="Arial"/>
          <w:smallCaps/>
          <w:color w:val="auto"/>
          <w:szCs w:val="20"/>
        </w:rPr>
        <w:t xml:space="preserve">9.2. </w:t>
      </w:r>
      <w:r w:rsidRPr="008B6989">
        <w:rPr>
          <w:rFonts w:cs="Arial"/>
          <w:b/>
          <w:bCs/>
          <w:smallCaps/>
          <w:color w:val="auto"/>
          <w:szCs w:val="20"/>
        </w:rPr>
        <w:t>Aggregate Liability of Hexagon</w:t>
      </w:r>
      <w:r w:rsidRPr="008B6989">
        <w:rPr>
          <w:rFonts w:cs="Arial"/>
          <w:smallCaps/>
          <w:color w:val="auto"/>
          <w:szCs w:val="20"/>
        </w:rPr>
        <w:t>. Without limiting the foregoing, under no circumstance shall Hexagon’s aggregate liability to Client exceed the total amounts invoiced by Hexagon to the Client for the respective Products and paid by Client to Hexagon in the twelve months prior to the event giving rise to the corresponding damage or loss.  In the event no Product is implicated or the implicated Product cannot be identified, hexagon’s aggregate liability shall not exceed the total amounts invoiced by Hexagon to the Client and paid by Client to Hexagon in the twelve months prior to the event giving rise to the corresponding damage or loss.</w:t>
      </w:r>
    </w:p>
    <w:p w14:paraId="7EB88B73" w14:textId="77777777" w:rsidR="00ED2EDA" w:rsidRPr="008B6989" w:rsidRDefault="00ED2EDA" w:rsidP="00ED2EDA">
      <w:pPr>
        <w:ind w:left="567" w:hanging="387"/>
        <w:jc w:val="both"/>
        <w:rPr>
          <w:rFonts w:cs="Arial"/>
          <w:color w:val="auto"/>
          <w:szCs w:val="20"/>
        </w:rPr>
      </w:pPr>
    </w:p>
    <w:p w14:paraId="08CAC540" w14:textId="77777777" w:rsidR="00ED2EDA" w:rsidRPr="008B6989" w:rsidRDefault="00ED2EDA" w:rsidP="00ED2EDA">
      <w:pPr>
        <w:ind w:left="567" w:hanging="387"/>
        <w:jc w:val="both"/>
        <w:rPr>
          <w:rFonts w:cs="Arial"/>
          <w:color w:val="auto"/>
          <w:szCs w:val="20"/>
        </w:rPr>
      </w:pPr>
      <w:r w:rsidRPr="008B6989">
        <w:rPr>
          <w:rFonts w:cs="Arial"/>
          <w:color w:val="auto"/>
          <w:szCs w:val="20"/>
        </w:rPr>
        <w:t xml:space="preserve">9.3. </w:t>
      </w:r>
      <w:r w:rsidRPr="008B6989">
        <w:rPr>
          <w:rFonts w:cs="Arial"/>
          <w:smallCaps/>
          <w:color w:val="auto"/>
          <w:szCs w:val="20"/>
        </w:rPr>
        <w:t xml:space="preserve">Notwithstanding the foregoing, neither party’s liability is limited or excluded herein to the extent that such liability arises from or is caused by gross negligence, recklessness, or </w:t>
      </w:r>
      <w:proofErr w:type="spellStart"/>
      <w:r w:rsidRPr="008B6989">
        <w:rPr>
          <w:rFonts w:cs="Arial"/>
          <w:smallCaps/>
          <w:color w:val="auto"/>
          <w:szCs w:val="20"/>
        </w:rPr>
        <w:t>willful</w:t>
      </w:r>
      <w:proofErr w:type="spellEnd"/>
      <w:r w:rsidRPr="008B6989">
        <w:rPr>
          <w:rFonts w:cs="Arial"/>
          <w:smallCaps/>
          <w:color w:val="auto"/>
          <w:szCs w:val="20"/>
        </w:rPr>
        <w:t xml:space="preserve">, wanton, or fraudulent misconduct; failure to comply with the law; or in the case of Client, losses or expenses due to cancellation or delay, violation of Hexagon’s IP rights, breach of warranty, or failure to pay fees when due. </w:t>
      </w:r>
    </w:p>
    <w:p w14:paraId="65FDCF23" w14:textId="77777777" w:rsidR="00ED2EDA" w:rsidRPr="008B6989" w:rsidRDefault="00ED2EDA" w:rsidP="00ED2EDA">
      <w:pPr>
        <w:ind w:left="567" w:hanging="387"/>
        <w:jc w:val="both"/>
        <w:rPr>
          <w:rFonts w:cs="Arial"/>
          <w:smallCaps/>
          <w:color w:val="auto"/>
          <w:szCs w:val="20"/>
        </w:rPr>
      </w:pPr>
    </w:p>
    <w:p w14:paraId="550055F8" w14:textId="77777777" w:rsidR="00ED2EDA" w:rsidRPr="008B6989" w:rsidRDefault="00ED2EDA" w:rsidP="00ED2EDA">
      <w:pPr>
        <w:ind w:left="567" w:hanging="387"/>
        <w:jc w:val="both"/>
        <w:rPr>
          <w:rFonts w:cs="Arial"/>
          <w:smallCaps/>
          <w:color w:val="auto"/>
          <w:szCs w:val="20"/>
        </w:rPr>
      </w:pPr>
      <w:r w:rsidRPr="008B6989">
        <w:rPr>
          <w:rFonts w:cs="Arial"/>
          <w:smallCaps/>
          <w:color w:val="auto"/>
          <w:szCs w:val="20"/>
        </w:rPr>
        <w:t xml:space="preserve">9.4. The aforementioned limitations of liability will apply even if any remedy provided herein will fail of its essential purpose. If applicable law does not allow the complete exclusion or limitation of liability as set forth herein, then liability and damages are limited to the greatest extent permitted by applicable law. </w:t>
      </w:r>
    </w:p>
    <w:p w14:paraId="08EEE649" w14:textId="77777777" w:rsidR="00ED2EDA" w:rsidRPr="008B6989" w:rsidRDefault="00ED2EDA" w:rsidP="00ED2EDA">
      <w:pPr>
        <w:ind w:left="567" w:hanging="387"/>
        <w:jc w:val="both"/>
        <w:rPr>
          <w:rFonts w:cs="Arial"/>
          <w:smallCaps/>
          <w:color w:val="auto"/>
          <w:szCs w:val="20"/>
        </w:rPr>
      </w:pPr>
    </w:p>
    <w:p w14:paraId="5005342B" w14:textId="77777777" w:rsidR="00ED2EDA" w:rsidRPr="008B6989" w:rsidRDefault="00ED2EDA" w:rsidP="00ED2EDA">
      <w:pPr>
        <w:ind w:left="567" w:hanging="387"/>
        <w:jc w:val="both"/>
        <w:rPr>
          <w:rFonts w:cs="Arial"/>
          <w:smallCaps/>
          <w:color w:val="auto"/>
          <w:szCs w:val="20"/>
        </w:rPr>
      </w:pPr>
      <w:r w:rsidRPr="008B6989">
        <w:rPr>
          <w:rFonts w:cs="Arial"/>
          <w:smallCaps/>
          <w:color w:val="auto"/>
          <w:szCs w:val="20"/>
        </w:rPr>
        <w:t xml:space="preserve">9.5. Hexagon will have no liability in connection with any information provided by Client or for the omission of any information that should have been provided by Client. </w:t>
      </w:r>
    </w:p>
    <w:p w14:paraId="72AF318E" w14:textId="77777777" w:rsidR="00ED2EDA" w:rsidRPr="008B6989" w:rsidRDefault="00ED2EDA" w:rsidP="00ED2EDA">
      <w:pPr>
        <w:ind w:left="567" w:hanging="387"/>
        <w:jc w:val="both"/>
        <w:rPr>
          <w:rFonts w:cs="Arial"/>
          <w:smallCaps/>
          <w:color w:val="auto"/>
          <w:szCs w:val="20"/>
        </w:rPr>
      </w:pPr>
    </w:p>
    <w:p w14:paraId="460D0FEB" w14:textId="77777777" w:rsidR="00ED2EDA" w:rsidRPr="008B6989" w:rsidRDefault="00ED2EDA" w:rsidP="00ED2EDA">
      <w:pPr>
        <w:ind w:left="567" w:hanging="387"/>
        <w:jc w:val="both"/>
        <w:rPr>
          <w:rFonts w:cs="Arial"/>
          <w:smallCaps/>
          <w:color w:val="auto"/>
          <w:szCs w:val="20"/>
        </w:rPr>
      </w:pPr>
      <w:r w:rsidRPr="008B6989">
        <w:rPr>
          <w:rFonts w:cs="Arial"/>
          <w:smallCaps/>
          <w:color w:val="auto"/>
          <w:szCs w:val="20"/>
        </w:rPr>
        <w:t xml:space="preserve">9.6. Hexagon will not be liable in any manner whatsoever for suspending or cancelling shipments or performance hereunder if any Product is subject to a credible allegation of infringement of intellectual property in Hexagon’s reasonable judgement. </w:t>
      </w:r>
    </w:p>
    <w:p w14:paraId="7E28839B" w14:textId="77777777" w:rsidR="00ED2EDA" w:rsidRPr="008B6989" w:rsidRDefault="00ED2EDA" w:rsidP="00ED2EDA">
      <w:pPr>
        <w:ind w:left="567" w:hanging="387"/>
        <w:jc w:val="both"/>
        <w:rPr>
          <w:rFonts w:cs="Arial"/>
          <w:smallCaps/>
          <w:color w:val="auto"/>
          <w:szCs w:val="20"/>
        </w:rPr>
      </w:pPr>
    </w:p>
    <w:p w14:paraId="734DDE52" w14:textId="77777777" w:rsidR="00ED2EDA" w:rsidRPr="008B6989" w:rsidRDefault="00ED2EDA" w:rsidP="00ED2EDA">
      <w:pPr>
        <w:ind w:left="567" w:hanging="387"/>
        <w:jc w:val="both"/>
        <w:rPr>
          <w:rFonts w:cs="Arial"/>
          <w:smallCaps/>
          <w:color w:val="auto"/>
          <w:szCs w:val="20"/>
        </w:rPr>
      </w:pPr>
      <w:r w:rsidRPr="008B6989">
        <w:rPr>
          <w:rFonts w:cs="Arial"/>
          <w:smallCaps/>
          <w:color w:val="auto"/>
          <w:szCs w:val="20"/>
        </w:rPr>
        <w:t xml:space="preserve">9.7. Hexagon will not be held liable for any damages, losses, costs, or expenses resulting from Client engaging a third party to provide services, training, or maintenance with regard to any of Hexagon’s Products. </w:t>
      </w:r>
    </w:p>
    <w:p w14:paraId="0D56EA4D" w14:textId="77777777" w:rsidR="00ED2EDA" w:rsidRPr="008B6989" w:rsidRDefault="00ED2EDA" w:rsidP="00ED2EDA">
      <w:pPr>
        <w:ind w:left="180"/>
        <w:jc w:val="both"/>
        <w:rPr>
          <w:rFonts w:cs="Arial"/>
          <w:smallCaps/>
          <w:color w:val="auto"/>
          <w:szCs w:val="20"/>
        </w:rPr>
      </w:pPr>
    </w:p>
    <w:p w14:paraId="5A673ED9" w14:textId="77777777" w:rsidR="00ED2EDA" w:rsidRPr="008B6989" w:rsidRDefault="00ED2EDA" w:rsidP="00ED2EDA">
      <w:pPr>
        <w:jc w:val="both"/>
        <w:rPr>
          <w:rFonts w:cs="Arial"/>
          <w:color w:val="auto"/>
          <w:szCs w:val="20"/>
        </w:rPr>
      </w:pPr>
      <w:r w:rsidRPr="008B6989">
        <w:rPr>
          <w:rFonts w:cs="Arial"/>
          <w:b/>
          <w:color w:val="auto"/>
          <w:szCs w:val="20"/>
        </w:rPr>
        <w:t>10</w:t>
      </w:r>
      <w:r w:rsidRPr="008B6989">
        <w:rPr>
          <w:rFonts w:cs="Arial"/>
          <w:color w:val="auto"/>
          <w:szCs w:val="20"/>
        </w:rPr>
        <w:t xml:space="preserve">. </w:t>
      </w:r>
      <w:r w:rsidRPr="008B6989">
        <w:rPr>
          <w:rFonts w:cs="Arial"/>
          <w:b/>
          <w:bCs/>
          <w:color w:val="auto"/>
          <w:szCs w:val="20"/>
          <w:u w:val="single"/>
        </w:rPr>
        <w:t>Indemnification</w:t>
      </w:r>
      <w:r w:rsidRPr="008B6989">
        <w:rPr>
          <w:rFonts w:cs="Arial"/>
          <w:color w:val="auto"/>
          <w:szCs w:val="20"/>
        </w:rPr>
        <w:t>.</w:t>
      </w:r>
    </w:p>
    <w:p w14:paraId="45E2F17C" w14:textId="77777777" w:rsidR="00ED2EDA" w:rsidRPr="008B6989" w:rsidRDefault="00ED2EDA" w:rsidP="00ED2EDA">
      <w:pPr>
        <w:ind w:left="180"/>
        <w:jc w:val="both"/>
        <w:rPr>
          <w:rFonts w:cs="Arial"/>
          <w:color w:val="auto"/>
          <w:szCs w:val="20"/>
        </w:rPr>
      </w:pPr>
    </w:p>
    <w:p w14:paraId="2E56F60B" w14:textId="77777777" w:rsidR="00ED2EDA" w:rsidRPr="008B6989" w:rsidRDefault="00ED2EDA" w:rsidP="00ED2EDA">
      <w:pPr>
        <w:ind w:left="567" w:hanging="387"/>
        <w:jc w:val="both"/>
        <w:rPr>
          <w:rFonts w:cs="Arial"/>
          <w:color w:val="auto"/>
          <w:szCs w:val="20"/>
        </w:rPr>
      </w:pPr>
      <w:r w:rsidRPr="008B6989">
        <w:rPr>
          <w:rFonts w:cs="Arial"/>
          <w:color w:val="auto"/>
          <w:szCs w:val="20"/>
        </w:rPr>
        <w:t>10.1. Hexagon will defend, indemnify, and hold Client harmless from and against any liabilities, settlements, penalties, costs, damages, fees, fines, losses, judgments, liabilities, and expenses (including reasonable attorneys’ fees and costs) (collectively, “</w:t>
      </w:r>
      <w:r w:rsidRPr="008B6989">
        <w:rPr>
          <w:rFonts w:cs="Arial"/>
          <w:b/>
          <w:color w:val="auto"/>
          <w:szCs w:val="20"/>
        </w:rPr>
        <w:t>Damages</w:t>
      </w:r>
      <w:r w:rsidRPr="008B6989">
        <w:rPr>
          <w:rFonts w:cs="Arial"/>
          <w:color w:val="auto"/>
          <w:szCs w:val="20"/>
        </w:rPr>
        <w:t>”) incurred as a result of any third-party claims, allegations, lawsuits, actions or demands (collectively, “</w:t>
      </w:r>
      <w:r w:rsidRPr="008B6989">
        <w:rPr>
          <w:rFonts w:cs="Arial"/>
          <w:b/>
          <w:color w:val="auto"/>
          <w:szCs w:val="20"/>
        </w:rPr>
        <w:t>Claims</w:t>
      </w:r>
      <w:r w:rsidRPr="008B6989">
        <w:rPr>
          <w:rFonts w:cs="Arial"/>
          <w:color w:val="auto"/>
          <w:szCs w:val="20"/>
        </w:rPr>
        <w:t>”) to the extent arising from or relating to a Claim that a Hexagon Product violates any patent or copyright in existence as of the date of purchase of the Products, provided: (</w:t>
      </w:r>
      <w:proofErr w:type="spellStart"/>
      <w:r w:rsidRPr="008B6989">
        <w:rPr>
          <w:rFonts w:cs="Arial"/>
          <w:color w:val="auto"/>
          <w:szCs w:val="20"/>
        </w:rPr>
        <w:t>i</w:t>
      </w:r>
      <w:proofErr w:type="spellEnd"/>
      <w:r w:rsidRPr="008B6989">
        <w:rPr>
          <w:rFonts w:cs="Arial"/>
          <w:color w:val="auto"/>
          <w:szCs w:val="20"/>
        </w:rPr>
        <w:t xml:space="preserve">) Client maintains a valid warranty for such Product; and (ii) such Product is used in accordance with the Documentation and this Contract. </w:t>
      </w:r>
    </w:p>
    <w:p w14:paraId="5929CF39" w14:textId="77777777" w:rsidR="00ED2EDA" w:rsidRPr="008B6989" w:rsidRDefault="00ED2EDA" w:rsidP="00ED2EDA">
      <w:pPr>
        <w:ind w:left="567" w:hanging="387"/>
        <w:jc w:val="both"/>
        <w:rPr>
          <w:rFonts w:cs="Arial"/>
          <w:color w:val="auto"/>
          <w:szCs w:val="20"/>
        </w:rPr>
      </w:pPr>
    </w:p>
    <w:p w14:paraId="33FFA5A2" w14:textId="77777777" w:rsidR="00ED2EDA" w:rsidRPr="008B6989" w:rsidRDefault="00ED2EDA" w:rsidP="00ED2EDA">
      <w:pPr>
        <w:ind w:left="567" w:hanging="387"/>
        <w:jc w:val="both"/>
        <w:rPr>
          <w:rFonts w:cs="Arial"/>
          <w:color w:val="auto"/>
          <w:szCs w:val="20"/>
        </w:rPr>
      </w:pPr>
      <w:r w:rsidRPr="008B6989">
        <w:rPr>
          <w:rFonts w:cs="Arial"/>
          <w:color w:val="auto"/>
          <w:szCs w:val="20"/>
        </w:rPr>
        <w:t xml:space="preserve">10.2. Client will defend, indemnify, and hold Hexagon harmless from and against any Damages incurred as a result of any Claims arising from or relating to: (a) a violation of or noncompliance with any applicable laws or regulations by Client Parties; (b) access to or use of the Products by Client Parties in the conduct of their respective business (including improper or unlawful use of the Products); (c) the gross negligence or </w:t>
      </w:r>
      <w:proofErr w:type="spellStart"/>
      <w:r w:rsidRPr="008B6989">
        <w:rPr>
          <w:rFonts w:cs="Arial"/>
          <w:color w:val="auto"/>
          <w:szCs w:val="20"/>
        </w:rPr>
        <w:t>willful</w:t>
      </w:r>
      <w:proofErr w:type="spellEnd"/>
      <w:r w:rsidRPr="008B6989">
        <w:rPr>
          <w:rFonts w:cs="Arial"/>
          <w:color w:val="auto"/>
          <w:szCs w:val="20"/>
        </w:rPr>
        <w:t xml:space="preserve"> or wanton misconduct of Client Parties or any </w:t>
      </w:r>
      <w:r w:rsidRPr="008B6989">
        <w:rPr>
          <w:rFonts w:cs="Arial"/>
          <w:color w:val="auto"/>
          <w:szCs w:val="20"/>
        </w:rPr>
        <w:lastRenderedPageBreak/>
        <w:t xml:space="preserve">personal injury, property damage, or death as the result of any act or omission by Client Parties; (d) any misuse or unauthorized disclosure of any Hexagon CI; (e) any claims for IP infringement where Client misuses or modifies the Products without authorization or where Client’s combination of the Products with other components or Products causes such infringement; (f) any disclosure or use of Hexagon data by Client as contemplated by this Contract, or (g) any business decisions made by Client in whole or in part based on use or receipt of the Products. </w:t>
      </w:r>
    </w:p>
    <w:p w14:paraId="71820F37" w14:textId="77777777" w:rsidR="00ED2EDA" w:rsidRPr="008B6989" w:rsidRDefault="00ED2EDA" w:rsidP="00ED2EDA">
      <w:pPr>
        <w:ind w:left="567" w:hanging="387"/>
        <w:jc w:val="both"/>
        <w:rPr>
          <w:rFonts w:cs="Arial"/>
          <w:color w:val="auto"/>
          <w:szCs w:val="20"/>
        </w:rPr>
      </w:pPr>
    </w:p>
    <w:p w14:paraId="258EA93E" w14:textId="77777777" w:rsidR="00ED2EDA" w:rsidRPr="008B6989" w:rsidRDefault="00ED2EDA" w:rsidP="00ED2EDA">
      <w:pPr>
        <w:ind w:left="567" w:hanging="387"/>
        <w:jc w:val="both"/>
        <w:rPr>
          <w:rFonts w:cs="Arial"/>
          <w:color w:val="auto"/>
          <w:szCs w:val="20"/>
        </w:rPr>
      </w:pPr>
      <w:r w:rsidRPr="008B6989">
        <w:rPr>
          <w:rFonts w:cs="Arial"/>
          <w:color w:val="auto"/>
          <w:szCs w:val="20"/>
        </w:rPr>
        <w:t xml:space="preserve">10.3. The foregoing indemnities are conditioned upon: (a) prompt written notice to the other party of any such Claim for which a party seeks indemnification; (b) allowing the indemnifying party to have complete and sole control of the </w:t>
      </w:r>
      <w:proofErr w:type="spellStart"/>
      <w:r w:rsidRPr="008B6989">
        <w:rPr>
          <w:rFonts w:cs="Arial"/>
          <w:color w:val="auto"/>
          <w:szCs w:val="20"/>
        </w:rPr>
        <w:t>defense</w:t>
      </w:r>
      <w:proofErr w:type="spellEnd"/>
      <w:r w:rsidRPr="008B6989">
        <w:rPr>
          <w:rFonts w:cs="Arial"/>
          <w:color w:val="auto"/>
          <w:szCs w:val="20"/>
        </w:rPr>
        <w:t xml:space="preserve"> of such Claim, including the right to settle; and (c) the indemnified party’s providing the indemnifying party with reasonable cooperation and assistance as requested. </w:t>
      </w:r>
    </w:p>
    <w:p w14:paraId="6CFF7787" w14:textId="77777777" w:rsidR="00ED2EDA" w:rsidRPr="008B6989" w:rsidRDefault="00ED2EDA" w:rsidP="00ED2EDA">
      <w:pPr>
        <w:jc w:val="both"/>
        <w:rPr>
          <w:rFonts w:cs="Arial"/>
          <w:color w:val="auto"/>
          <w:szCs w:val="20"/>
        </w:rPr>
      </w:pPr>
    </w:p>
    <w:p w14:paraId="1F99653D" w14:textId="77777777" w:rsidR="00ED2EDA" w:rsidRPr="008B6989" w:rsidRDefault="00ED2EDA" w:rsidP="00ED2EDA">
      <w:pPr>
        <w:jc w:val="both"/>
        <w:rPr>
          <w:rFonts w:cs="Arial"/>
          <w:color w:val="auto"/>
          <w:szCs w:val="20"/>
        </w:rPr>
      </w:pPr>
      <w:r w:rsidRPr="008B6989">
        <w:rPr>
          <w:rFonts w:cs="Arial"/>
          <w:b/>
          <w:color w:val="auto"/>
          <w:szCs w:val="20"/>
        </w:rPr>
        <w:t>11</w:t>
      </w:r>
      <w:r w:rsidRPr="008B6989">
        <w:rPr>
          <w:rFonts w:cs="Arial"/>
          <w:color w:val="auto"/>
          <w:szCs w:val="20"/>
        </w:rPr>
        <w:t xml:space="preserve">. </w:t>
      </w:r>
      <w:r w:rsidRPr="008B6989">
        <w:rPr>
          <w:rFonts w:cs="Arial"/>
          <w:b/>
          <w:bCs/>
          <w:color w:val="auto"/>
          <w:szCs w:val="20"/>
          <w:u w:val="single"/>
        </w:rPr>
        <w:t>Applicable Law</w:t>
      </w:r>
      <w:r w:rsidRPr="008B6989">
        <w:rPr>
          <w:rFonts w:cs="Arial"/>
          <w:color w:val="auto"/>
          <w:szCs w:val="20"/>
        </w:rPr>
        <w:t>. This Contract and all matters arising out of or relating to this Contract are governed by and construed in accordance with the laws of the relevant jurisdiction as set forth in the chart below, without regard to its conflicts of law provisions. Should this Contract be performed where a Hexagon entity is not established, the laws and jurisdiction of England and Wales shall apply. The parties agree that the United Nations Convention on Contracts for the International Sale of Goods does not apply to this Contract. See table below (next page):</w:t>
      </w:r>
    </w:p>
    <w:p w14:paraId="5ACD9DEA" w14:textId="77777777" w:rsidR="00ED2EDA" w:rsidRDefault="00ED2EDA" w:rsidP="00ED2EDA">
      <w:pPr>
        <w:jc w:val="both"/>
        <w:rPr>
          <w:rFonts w:cs="Arial"/>
          <w:szCs w:val="20"/>
        </w:rPr>
      </w:pPr>
    </w:p>
    <w:p w14:paraId="1D300229" w14:textId="77777777" w:rsidR="00ED2EDA" w:rsidRDefault="00ED2EDA" w:rsidP="00ED2EDA">
      <w:pPr>
        <w:jc w:val="both"/>
        <w:rPr>
          <w:rFonts w:cs="Arial"/>
          <w:szCs w:val="20"/>
        </w:rPr>
      </w:pPr>
    </w:p>
    <w:p w14:paraId="55CFA4CD" w14:textId="77777777" w:rsidR="00ED2EDA" w:rsidRDefault="00ED2EDA" w:rsidP="00ED2EDA">
      <w:pPr>
        <w:jc w:val="both"/>
        <w:rPr>
          <w:rFonts w:cs="Arial"/>
          <w:szCs w:val="20"/>
        </w:rPr>
      </w:pPr>
    </w:p>
    <w:p w14:paraId="19F2385F" w14:textId="77777777" w:rsidR="00ED2EDA" w:rsidRDefault="00ED2EDA" w:rsidP="00ED2EDA">
      <w:pPr>
        <w:jc w:val="both"/>
        <w:rPr>
          <w:rFonts w:cs="Arial"/>
          <w:szCs w:val="20"/>
        </w:rPr>
      </w:pPr>
    </w:p>
    <w:p w14:paraId="7C695D90" w14:textId="77777777" w:rsidR="00ED2EDA" w:rsidRDefault="00ED2EDA" w:rsidP="00ED2EDA">
      <w:pPr>
        <w:jc w:val="both"/>
        <w:rPr>
          <w:rFonts w:cs="Arial"/>
          <w:szCs w:val="20"/>
        </w:rPr>
      </w:pPr>
    </w:p>
    <w:p w14:paraId="71376155" w14:textId="77777777" w:rsidR="00ED2EDA" w:rsidRDefault="00ED2EDA" w:rsidP="00ED2EDA">
      <w:pPr>
        <w:jc w:val="both"/>
        <w:rPr>
          <w:rFonts w:cs="Arial"/>
          <w:szCs w:val="20"/>
        </w:rPr>
      </w:pPr>
    </w:p>
    <w:p w14:paraId="749DFC2D" w14:textId="77777777" w:rsidR="00ED2EDA" w:rsidRDefault="00ED2EDA" w:rsidP="00ED2EDA">
      <w:pPr>
        <w:jc w:val="both"/>
        <w:rPr>
          <w:rFonts w:cs="Arial"/>
          <w:szCs w:val="20"/>
        </w:rPr>
      </w:pPr>
    </w:p>
    <w:p w14:paraId="6BE045C1" w14:textId="77777777" w:rsidR="00ED2EDA" w:rsidRDefault="00ED2EDA" w:rsidP="00ED2EDA">
      <w:pPr>
        <w:jc w:val="both"/>
        <w:rPr>
          <w:rFonts w:cs="Arial"/>
          <w:szCs w:val="20"/>
        </w:rPr>
      </w:pPr>
    </w:p>
    <w:p w14:paraId="15E0DD40" w14:textId="77777777" w:rsidR="00ED2EDA" w:rsidRPr="00D46DCC" w:rsidRDefault="00ED2EDA" w:rsidP="00ED2EDA">
      <w:pPr>
        <w:jc w:val="center"/>
        <w:rPr>
          <w:rFonts w:cs="Arial"/>
          <w:b/>
          <w:bCs/>
          <w:i/>
          <w:iCs/>
          <w:sz w:val="24"/>
        </w:rPr>
      </w:pPr>
      <w:r w:rsidRPr="00D46DCC">
        <w:rPr>
          <w:rFonts w:cs="Arial"/>
          <w:b/>
          <w:bCs/>
          <w:i/>
          <w:iCs/>
          <w:sz w:val="24"/>
        </w:rPr>
        <w:t>[INTENTIONALLY LEFT BLANK]</w:t>
      </w:r>
    </w:p>
    <w:p w14:paraId="6E949586" w14:textId="77777777" w:rsidR="00ED2EDA" w:rsidRDefault="00ED2EDA" w:rsidP="00ED2EDA">
      <w:pPr>
        <w:jc w:val="both"/>
        <w:rPr>
          <w:rFonts w:cs="Arial"/>
          <w:szCs w:val="20"/>
        </w:rPr>
      </w:pPr>
    </w:p>
    <w:p w14:paraId="55391523" w14:textId="2FDE3F22" w:rsidR="007A4F4E" w:rsidRDefault="007A4F4E" w:rsidP="00ED2EDA">
      <w:pPr>
        <w:jc w:val="both"/>
        <w:rPr>
          <w:rFonts w:cs="Arial"/>
          <w:szCs w:val="20"/>
        </w:rPr>
      </w:pPr>
      <w:r>
        <w:rPr>
          <w:rFonts w:cs="Arial"/>
          <w:szCs w:val="20"/>
        </w:rPr>
        <w:br w:type="page"/>
      </w:r>
    </w:p>
    <w:tbl>
      <w:tblPr>
        <w:tblpPr w:leftFromText="180" w:rightFromText="180" w:vertAnchor="text" w:horzAnchor="margin" w:tblpY="-13"/>
        <w:tblW w:w="9000" w:type="dxa"/>
        <w:tblLayout w:type="fixed"/>
        <w:tblCellMar>
          <w:left w:w="0" w:type="dxa"/>
          <w:right w:w="0" w:type="dxa"/>
        </w:tblCellMar>
        <w:tblLook w:val="01E0" w:firstRow="1" w:lastRow="1" w:firstColumn="1" w:lastColumn="1" w:noHBand="0" w:noVBand="0"/>
      </w:tblPr>
      <w:tblGrid>
        <w:gridCol w:w="4500"/>
        <w:gridCol w:w="1710"/>
        <w:gridCol w:w="2790"/>
      </w:tblGrid>
      <w:tr w:rsidR="00412DBD" w14:paraId="79B515DD" w14:textId="77777777" w:rsidTr="00412DBD">
        <w:trPr>
          <w:trHeight w:val="756"/>
        </w:trPr>
        <w:tc>
          <w:tcPr>
            <w:tcW w:w="4500" w:type="dxa"/>
            <w:shd w:val="clear" w:color="auto" w:fill="231F20"/>
            <w:vAlign w:val="center"/>
          </w:tcPr>
          <w:p w14:paraId="13CE312B" w14:textId="77777777" w:rsidR="00412DBD" w:rsidRPr="001E536B" w:rsidRDefault="00412DBD" w:rsidP="00412DBD">
            <w:pPr>
              <w:pStyle w:val="TableParagraph"/>
              <w:spacing w:before="85" w:line="228" w:lineRule="auto"/>
              <w:ind w:left="253" w:right="170" w:hanging="74"/>
              <w:jc w:val="center"/>
              <w:rPr>
                <w:rFonts w:ascii="Hexagon Akkurat"/>
                <w:b/>
                <w:sz w:val="16"/>
                <w:szCs w:val="24"/>
              </w:rPr>
            </w:pPr>
            <w:r w:rsidRPr="001E60B5">
              <w:rPr>
                <w:noProof/>
              </w:rPr>
              <w:lastRenderedPageBreak/>
              <w:drawing>
                <wp:anchor distT="0" distB="0" distL="114300" distR="114300" simplePos="0" relativeHeight="251659264" behindDoc="0" locked="0" layoutInCell="1" allowOverlap="1" wp14:anchorId="55DCF3A6" wp14:editId="43892BFA">
                  <wp:simplePos x="0" y="0"/>
                  <wp:positionH relativeFrom="margin">
                    <wp:posOffset>-635</wp:posOffset>
                  </wp:positionH>
                  <wp:positionV relativeFrom="paragraph">
                    <wp:posOffset>417195</wp:posOffset>
                  </wp:positionV>
                  <wp:extent cx="5712460" cy="6477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xagon_Brand_Bar_Word_Template.jpg"/>
                          <pic:cNvPicPr/>
                        </pic:nvPicPr>
                        <pic:blipFill rotWithShape="1">
                          <a:blip r:embed="rId15" cstate="print">
                            <a:extLst>
                              <a:ext uri="{28A0092B-C50C-407E-A947-70E740481C1C}">
                                <a14:useLocalDpi xmlns:a14="http://schemas.microsoft.com/office/drawing/2010/main" val="0"/>
                              </a:ext>
                            </a:extLst>
                          </a:blip>
                          <a:srcRect l="503" t="-1400" r="509" b="23686"/>
                          <a:stretch/>
                        </pic:blipFill>
                        <pic:spPr bwMode="auto">
                          <a:xfrm flipV="1">
                            <a:off x="0" y="0"/>
                            <a:ext cx="5712460" cy="64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536B">
              <w:rPr>
                <w:rFonts w:ascii="Hexagon Akkurat"/>
                <w:b/>
                <w:color w:val="FFFFFF"/>
                <w:sz w:val="16"/>
                <w:szCs w:val="24"/>
              </w:rPr>
              <w:t>Hexagon Mining Entity</w:t>
            </w:r>
          </w:p>
        </w:tc>
        <w:tc>
          <w:tcPr>
            <w:tcW w:w="1710" w:type="dxa"/>
            <w:shd w:val="clear" w:color="auto" w:fill="231F20"/>
            <w:vAlign w:val="center"/>
          </w:tcPr>
          <w:p w14:paraId="68410D72" w14:textId="77777777" w:rsidR="00412DBD" w:rsidRPr="001E536B" w:rsidRDefault="00412DBD" w:rsidP="00412DBD">
            <w:pPr>
              <w:pStyle w:val="TableParagraph"/>
              <w:spacing w:before="85" w:line="228" w:lineRule="auto"/>
              <w:ind w:left="253" w:right="170" w:hanging="74"/>
              <w:jc w:val="center"/>
              <w:rPr>
                <w:rFonts w:ascii="Hexagon Akkurat"/>
                <w:b/>
                <w:color w:val="FFFFFF"/>
                <w:sz w:val="16"/>
                <w:szCs w:val="24"/>
              </w:rPr>
            </w:pPr>
            <w:r w:rsidRPr="001E536B">
              <w:rPr>
                <w:rFonts w:ascii="Hexagon Akkurat"/>
                <w:b/>
                <w:color w:val="FFFFFF"/>
                <w:sz w:val="16"/>
                <w:szCs w:val="24"/>
              </w:rPr>
              <w:t>Country of</w:t>
            </w:r>
          </w:p>
          <w:p w14:paraId="22ADAB8D" w14:textId="77777777" w:rsidR="00412DBD" w:rsidRPr="001E536B" w:rsidRDefault="00412DBD" w:rsidP="00412DBD">
            <w:pPr>
              <w:pStyle w:val="TableParagraph"/>
              <w:spacing w:before="85" w:line="228" w:lineRule="auto"/>
              <w:ind w:left="253" w:right="170" w:hanging="74"/>
              <w:jc w:val="center"/>
              <w:rPr>
                <w:rFonts w:ascii="Hexagon Akkurat"/>
                <w:b/>
                <w:sz w:val="16"/>
                <w:szCs w:val="24"/>
              </w:rPr>
            </w:pPr>
            <w:r w:rsidRPr="001E536B">
              <w:rPr>
                <w:rFonts w:ascii="Hexagon Akkurat"/>
                <w:b/>
                <w:color w:val="FFFFFF"/>
                <w:sz w:val="16"/>
                <w:szCs w:val="24"/>
              </w:rPr>
              <w:t>Registration</w:t>
            </w:r>
          </w:p>
        </w:tc>
        <w:tc>
          <w:tcPr>
            <w:tcW w:w="2790" w:type="dxa"/>
            <w:shd w:val="clear" w:color="auto" w:fill="231F20"/>
            <w:vAlign w:val="center"/>
          </w:tcPr>
          <w:p w14:paraId="7B9B1197" w14:textId="77777777" w:rsidR="00412DBD" w:rsidRPr="001E536B" w:rsidRDefault="00412DBD" w:rsidP="00412DBD">
            <w:pPr>
              <w:pStyle w:val="TableParagraph"/>
              <w:spacing w:before="85" w:line="228" w:lineRule="auto"/>
              <w:ind w:left="253" w:right="170" w:hanging="74"/>
              <w:jc w:val="center"/>
              <w:rPr>
                <w:rFonts w:ascii="Hexagon Akkurat"/>
                <w:b/>
                <w:color w:val="FFFFFF"/>
                <w:sz w:val="16"/>
                <w:szCs w:val="24"/>
              </w:rPr>
            </w:pPr>
            <w:r w:rsidRPr="001E536B">
              <w:rPr>
                <w:rFonts w:ascii="Hexagon Akkurat"/>
                <w:b/>
                <w:color w:val="FFFFFF"/>
                <w:sz w:val="16"/>
                <w:szCs w:val="24"/>
              </w:rPr>
              <w:t>Applicable Law /</w:t>
            </w:r>
          </w:p>
          <w:p w14:paraId="06FED81A" w14:textId="77777777" w:rsidR="00412DBD" w:rsidRPr="001E536B" w:rsidRDefault="00412DBD" w:rsidP="00412DBD">
            <w:pPr>
              <w:pStyle w:val="TableParagraph"/>
              <w:spacing w:before="85" w:line="228" w:lineRule="auto"/>
              <w:ind w:left="253" w:right="170" w:hanging="74"/>
              <w:jc w:val="center"/>
              <w:rPr>
                <w:rFonts w:ascii="Hexagon Akkurat"/>
                <w:b/>
                <w:sz w:val="16"/>
                <w:szCs w:val="24"/>
              </w:rPr>
            </w:pPr>
            <w:r w:rsidRPr="001E536B">
              <w:rPr>
                <w:rFonts w:ascii="Hexagon Akkurat"/>
                <w:b/>
                <w:color w:val="FFFFFF"/>
                <w:sz w:val="16"/>
                <w:szCs w:val="24"/>
              </w:rPr>
              <w:t>Jurisdiction</w:t>
            </w:r>
          </w:p>
        </w:tc>
      </w:tr>
      <w:tr w:rsidR="00412DBD" w14:paraId="3FED99B9" w14:textId="77777777" w:rsidTr="008B6989">
        <w:trPr>
          <w:trHeight w:val="1767"/>
        </w:trPr>
        <w:tc>
          <w:tcPr>
            <w:tcW w:w="4500" w:type="dxa"/>
            <w:tcBorders>
              <w:left w:val="single" w:sz="2" w:space="0" w:color="231F20"/>
              <w:right w:val="single" w:sz="2" w:space="0" w:color="231F20"/>
            </w:tcBorders>
            <w:shd w:val="clear" w:color="auto" w:fill="E6E7E8"/>
          </w:tcPr>
          <w:p w14:paraId="2C6254C5" w14:textId="1DAF75C4" w:rsidR="008B6989" w:rsidRDefault="008B6989" w:rsidP="00412DBD">
            <w:pPr>
              <w:pStyle w:val="TableText"/>
              <w:rPr>
                <w:rFonts w:asciiTheme="minorHAnsi" w:hAnsiTheme="minorHAnsi" w:cstheme="minorHAnsi"/>
                <w:color w:val="auto"/>
                <w:szCs w:val="16"/>
                <w:lang w:val="en-US"/>
              </w:rPr>
            </w:pPr>
            <w:r w:rsidRPr="008B6989">
              <w:rPr>
                <w:rFonts w:asciiTheme="minorHAnsi" w:hAnsiTheme="minorHAnsi" w:cstheme="minorHAnsi"/>
                <w:color w:val="auto"/>
                <w:szCs w:val="16"/>
                <w:lang w:val="en-US"/>
              </w:rPr>
              <w:t xml:space="preserve">40 E Congress Street </w:t>
            </w:r>
          </w:p>
          <w:p w14:paraId="49077438" w14:textId="77777777" w:rsidR="008B6989" w:rsidRDefault="008B6989" w:rsidP="00412DBD">
            <w:pPr>
              <w:pStyle w:val="TableText"/>
              <w:rPr>
                <w:rFonts w:asciiTheme="minorHAnsi" w:hAnsiTheme="minorHAnsi" w:cstheme="minorHAnsi"/>
                <w:color w:val="auto"/>
                <w:szCs w:val="16"/>
                <w:lang w:val="en-US"/>
              </w:rPr>
            </w:pPr>
            <w:r w:rsidRPr="008B6989">
              <w:rPr>
                <w:rFonts w:asciiTheme="minorHAnsi" w:hAnsiTheme="minorHAnsi" w:cstheme="minorHAnsi"/>
                <w:color w:val="auto"/>
                <w:szCs w:val="16"/>
                <w:lang w:val="en-US"/>
              </w:rPr>
              <w:t xml:space="preserve">Suite 300 </w:t>
            </w:r>
          </w:p>
          <w:p w14:paraId="69DB3EB8" w14:textId="77777777" w:rsidR="008B6989" w:rsidRDefault="008B6989" w:rsidP="00412DBD">
            <w:pPr>
              <w:pStyle w:val="TableText"/>
              <w:rPr>
                <w:rFonts w:asciiTheme="minorHAnsi" w:hAnsiTheme="minorHAnsi" w:cstheme="minorHAnsi"/>
                <w:color w:val="auto"/>
                <w:szCs w:val="16"/>
                <w:lang w:val="en-US"/>
              </w:rPr>
            </w:pPr>
            <w:r w:rsidRPr="008B6989">
              <w:rPr>
                <w:rFonts w:asciiTheme="minorHAnsi" w:hAnsiTheme="minorHAnsi" w:cstheme="minorHAnsi"/>
                <w:color w:val="auto"/>
                <w:szCs w:val="16"/>
                <w:lang w:val="en-US"/>
              </w:rPr>
              <w:t>Tucson</w:t>
            </w:r>
            <w:r>
              <w:rPr>
                <w:rFonts w:asciiTheme="minorHAnsi" w:hAnsiTheme="minorHAnsi" w:cstheme="minorHAnsi"/>
                <w:color w:val="auto"/>
                <w:szCs w:val="16"/>
                <w:lang w:val="en-US"/>
              </w:rPr>
              <w:t xml:space="preserve">, </w:t>
            </w:r>
            <w:r w:rsidRPr="008B6989">
              <w:rPr>
                <w:rFonts w:asciiTheme="minorHAnsi" w:hAnsiTheme="minorHAnsi" w:cstheme="minorHAnsi"/>
                <w:color w:val="auto"/>
                <w:szCs w:val="16"/>
                <w:lang w:val="en-US"/>
              </w:rPr>
              <w:t xml:space="preserve">AZ 87501, USA </w:t>
            </w:r>
          </w:p>
          <w:p w14:paraId="373A990E" w14:textId="77777777" w:rsidR="008B6989" w:rsidRDefault="008B6989" w:rsidP="00412DBD">
            <w:pPr>
              <w:pStyle w:val="TableText"/>
              <w:rPr>
                <w:rFonts w:asciiTheme="minorHAnsi" w:hAnsiTheme="minorHAnsi" w:cstheme="minorHAnsi"/>
                <w:color w:val="auto"/>
                <w:szCs w:val="16"/>
                <w:lang w:val="en-US"/>
              </w:rPr>
            </w:pPr>
            <w:r w:rsidRPr="008B6989">
              <w:rPr>
                <w:rFonts w:asciiTheme="minorHAnsi" w:hAnsiTheme="minorHAnsi" w:cstheme="minorHAnsi"/>
                <w:color w:val="auto"/>
                <w:szCs w:val="16"/>
                <w:lang w:val="en-US"/>
              </w:rPr>
              <w:t xml:space="preserve">T: +1 (520) 795-3891 </w:t>
            </w:r>
          </w:p>
          <w:p w14:paraId="6C08FD38" w14:textId="77777777" w:rsidR="008B6989" w:rsidRDefault="008B6989" w:rsidP="00412DBD">
            <w:pPr>
              <w:pStyle w:val="TableText"/>
              <w:rPr>
                <w:rFonts w:asciiTheme="minorHAnsi" w:hAnsiTheme="minorHAnsi" w:cstheme="minorHAnsi"/>
                <w:color w:val="auto"/>
                <w:szCs w:val="16"/>
                <w:lang w:val="en-US"/>
              </w:rPr>
            </w:pPr>
            <w:r w:rsidRPr="008B6989">
              <w:rPr>
                <w:rFonts w:asciiTheme="minorHAnsi" w:hAnsiTheme="minorHAnsi" w:cstheme="minorHAnsi"/>
                <w:color w:val="auto"/>
                <w:szCs w:val="16"/>
                <w:lang w:val="en-US"/>
              </w:rPr>
              <w:t xml:space="preserve">F: +1 (520) 325-2568 </w:t>
            </w:r>
          </w:p>
          <w:p w14:paraId="2032DD6F" w14:textId="5A65BCC5" w:rsidR="008B6989" w:rsidRDefault="00A60608" w:rsidP="00412DBD">
            <w:pPr>
              <w:pStyle w:val="TableText"/>
              <w:rPr>
                <w:rFonts w:asciiTheme="minorHAnsi" w:hAnsiTheme="minorHAnsi" w:cstheme="minorHAnsi"/>
                <w:color w:val="auto"/>
                <w:szCs w:val="16"/>
                <w:lang w:val="en-US"/>
              </w:rPr>
            </w:pPr>
            <w:hyperlink r:id="rId16" w:history="1">
              <w:r w:rsidR="008B6989" w:rsidRPr="00CA631B">
                <w:rPr>
                  <w:rStyle w:val="Hyperlink"/>
                  <w:rFonts w:asciiTheme="minorHAnsi" w:hAnsiTheme="minorHAnsi" w:cstheme="minorHAnsi"/>
                  <w:szCs w:val="16"/>
                  <w:lang w:val="en-US"/>
                </w:rPr>
                <w:t>www.hexagonmining.com</w:t>
              </w:r>
            </w:hyperlink>
            <w:r w:rsidR="008B6989" w:rsidRPr="008B6989">
              <w:rPr>
                <w:rFonts w:asciiTheme="minorHAnsi" w:hAnsiTheme="minorHAnsi" w:cstheme="minorHAnsi"/>
                <w:color w:val="auto"/>
                <w:szCs w:val="16"/>
                <w:lang w:val="en-US"/>
              </w:rPr>
              <w:t xml:space="preserve"> </w:t>
            </w:r>
          </w:p>
          <w:p w14:paraId="3314B6DF" w14:textId="2FE73F03" w:rsidR="00412DBD" w:rsidRPr="008B6989" w:rsidRDefault="008B6989" w:rsidP="00412DBD">
            <w:pPr>
              <w:pStyle w:val="TableText"/>
              <w:rPr>
                <w:rFonts w:asciiTheme="minorHAnsi" w:hAnsiTheme="minorHAnsi" w:cstheme="minorHAnsi"/>
                <w:color w:val="auto"/>
                <w:szCs w:val="16"/>
                <w:lang w:val="en-US"/>
              </w:rPr>
            </w:pPr>
            <w:r w:rsidRPr="008B6989">
              <w:rPr>
                <w:rFonts w:asciiTheme="minorHAnsi" w:hAnsiTheme="minorHAnsi" w:cstheme="minorHAnsi"/>
                <w:color w:val="auto"/>
                <w:szCs w:val="16"/>
                <w:lang w:val="en-US"/>
              </w:rPr>
              <w:t>Applicable Law / Hexagon Mining Entity Country of Registration Jurisdiction Blast Movement Technologies Brisbane International Pty Ltd</w:t>
            </w:r>
          </w:p>
        </w:tc>
        <w:tc>
          <w:tcPr>
            <w:tcW w:w="1710" w:type="dxa"/>
            <w:vMerge w:val="restart"/>
            <w:tcBorders>
              <w:left w:val="single" w:sz="2" w:space="0" w:color="231F20"/>
              <w:right w:val="single" w:sz="2" w:space="0" w:color="231F20"/>
            </w:tcBorders>
            <w:shd w:val="clear" w:color="auto" w:fill="F9F9F9"/>
            <w:vAlign w:val="center"/>
          </w:tcPr>
          <w:p w14:paraId="3CB85EF4" w14:textId="77777777" w:rsidR="00412DBD" w:rsidRPr="001E536B" w:rsidRDefault="00412DBD" w:rsidP="00412DBD">
            <w:pPr>
              <w:pStyle w:val="TableText"/>
              <w:jc w:val="center"/>
            </w:pPr>
            <w:r w:rsidRPr="001E536B">
              <w:t>Australia</w:t>
            </w:r>
          </w:p>
        </w:tc>
        <w:tc>
          <w:tcPr>
            <w:tcW w:w="2790" w:type="dxa"/>
            <w:tcBorders>
              <w:left w:val="single" w:sz="2" w:space="0" w:color="231F20"/>
              <w:right w:val="single" w:sz="2" w:space="0" w:color="231F20"/>
            </w:tcBorders>
            <w:shd w:val="clear" w:color="auto" w:fill="E6E7E8"/>
          </w:tcPr>
          <w:p w14:paraId="081F9D99" w14:textId="77777777" w:rsidR="00412DBD" w:rsidRPr="001E536B" w:rsidRDefault="00412DBD" w:rsidP="00412DBD">
            <w:pPr>
              <w:pStyle w:val="TableText"/>
              <w:jc w:val="center"/>
            </w:pPr>
            <w:r w:rsidRPr="001E536B">
              <w:t>Brisbane</w:t>
            </w:r>
          </w:p>
        </w:tc>
      </w:tr>
      <w:tr w:rsidR="00412DBD" w14:paraId="7D30C780" w14:textId="77777777" w:rsidTr="00412DBD">
        <w:trPr>
          <w:trHeight w:val="180"/>
        </w:trPr>
        <w:tc>
          <w:tcPr>
            <w:tcW w:w="4500" w:type="dxa"/>
            <w:tcBorders>
              <w:left w:val="single" w:sz="2" w:space="0" w:color="231F20"/>
              <w:right w:val="single" w:sz="2" w:space="0" w:color="231F20"/>
            </w:tcBorders>
            <w:shd w:val="clear" w:color="auto" w:fill="F9F9F9"/>
          </w:tcPr>
          <w:p w14:paraId="192F2F51" w14:textId="77777777" w:rsidR="00412DBD" w:rsidRPr="009E4522" w:rsidRDefault="00412DBD" w:rsidP="00412DBD">
            <w:pPr>
              <w:pStyle w:val="TableText"/>
            </w:pPr>
            <w:r w:rsidRPr="009E4522">
              <w:t>Blast Movement Technologies Pty Ltd</w:t>
            </w:r>
          </w:p>
        </w:tc>
        <w:tc>
          <w:tcPr>
            <w:tcW w:w="1710" w:type="dxa"/>
            <w:vMerge/>
            <w:tcBorders>
              <w:left w:val="single" w:sz="2" w:space="0" w:color="231F20"/>
              <w:right w:val="single" w:sz="2" w:space="0" w:color="231F20"/>
            </w:tcBorders>
            <w:shd w:val="clear" w:color="auto" w:fill="F9F9F9"/>
            <w:vAlign w:val="center"/>
          </w:tcPr>
          <w:p w14:paraId="4236F97D"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F9F9F9"/>
          </w:tcPr>
          <w:p w14:paraId="520DF9B0" w14:textId="77777777" w:rsidR="00412DBD" w:rsidRPr="001E536B" w:rsidRDefault="00412DBD" w:rsidP="00412DBD">
            <w:pPr>
              <w:pStyle w:val="TableText"/>
              <w:jc w:val="center"/>
            </w:pPr>
            <w:r w:rsidRPr="001E536B">
              <w:t>Brisbane</w:t>
            </w:r>
          </w:p>
        </w:tc>
      </w:tr>
      <w:tr w:rsidR="00412DBD" w14:paraId="5B1AAFEF" w14:textId="77777777" w:rsidTr="00412DBD">
        <w:trPr>
          <w:trHeight w:val="180"/>
        </w:trPr>
        <w:tc>
          <w:tcPr>
            <w:tcW w:w="4500" w:type="dxa"/>
            <w:tcBorders>
              <w:left w:val="single" w:sz="2" w:space="0" w:color="231F20"/>
              <w:right w:val="single" w:sz="2" w:space="0" w:color="231F20"/>
            </w:tcBorders>
            <w:shd w:val="clear" w:color="auto" w:fill="E6E7E8"/>
          </w:tcPr>
          <w:p w14:paraId="53626F49" w14:textId="77777777" w:rsidR="00412DBD" w:rsidRPr="009E4522" w:rsidRDefault="00412DBD" w:rsidP="00412DBD">
            <w:pPr>
              <w:pStyle w:val="TableText"/>
            </w:pPr>
            <w:r w:rsidRPr="009E4522">
              <w:t>BMT 3 Holdings Pty Ltd</w:t>
            </w:r>
          </w:p>
        </w:tc>
        <w:tc>
          <w:tcPr>
            <w:tcW w:w="1710" w:type="dxa"/>
            <w:vMerge/>
            <w:tcBorders>
              <w:left w:val="single" w:sz="2" w:space="0" w:color="231F20"/>
              <w:right w:val="single" w:sz="2" w:space="0" w:color="231F20"/>
            </w:tcBorders>
            <w:shd w:val="clear" w:color="auto" w:fill="F9F9F9"/>
            <w:vAlign w:val="center"/>
          </w:tcPr>
          <w:p w14:paraId="0254320B"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E6E7E8"/>
          </w:tcPr>
          <w:p w14:paraId="73108066" w14:textId="77777777" w:rsidR="00412DBD" w:rsidRPr="001E536B" w:rsidRDefault="00412DBD" w:rsidP="00412DBD">
            <w:pPr>
              <w:pStyle w:val="TableText"/>
              <w:jc w:val="center"/>
            </w:pPr>
            <w:r w:rsidRPr="001E536B">
              <w:t>Brisbane</w:t>
            </w:r>
          </w:p>
        </w:tc>
      </w:tr>
      <w:tr w:rsidR="00412DBD" w14:paraId="7593FF1C" w14:textId="77777777" w:rsidTr="00412DBD">
        <w:trPr>
          <w:trHeight w:val="162"/>
        </w:trPr>
        <w:tc>
          <w:tcPr>
            <w:tcW w:w="4500" w:type="dxa"/>
            <w:tcBorders>
              <w:left w:val="single" w:sz="2" w:space="0" w:color="231F20"/>
              <w:right w:val="single" w:sz="2" w:space="0" w:color="231F20"/>
            </w:tcBorders>
            <w:shd w:val="clear" w:color="auto" w:fill="F9F9F9"/>
          </w:tcPr>
          <w:p w14:paraId="29DC3D5D" w14:textId="77777777" w:rsidR="00412DBD" w:rsidRPr="009E4522" w:rsidRDefault="00412DBD" w:rsidP="00412DBD">
            <w:pPr>
              <w:pStyle w:val="TableText"/>
            </w:pPr>
            <w:r w:rsidRPr="009E4522">
              <w:t>BMT Africa Pty Ltd</w:t>
            </w:r>
          </w:p>
        </w:tc>
        <w:tc>
          <w:tcPr>
            <w:tcW w:w="1710" w:type="dxa"/>
            <w:vMerge/>
            <w:tcBorders>
              <w:left w:val="single" w:sz="2" w:space="0" w:color="231F20"/>
              <w:right w:val="single" w:sz="2" w:space="0" w:color="231F20"/>
            </w:tcBorders>
            <w:shd w:val="clear" w:color="auto" w:fill="F9F9F9"/>
            <w:vAlign w:val="center"/>
          </w:tcPr>
          <w:p w14:paraId="012AF4F3"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F9F9F9"/>
          </w:tcPr>
          <w:p w14:paraId="6803D1C9" w14:textId="77777777" w:rsidR="00412DBD" w:rsidRPr="001E536B" w:rsidRDefault="00412DBD" w:rsidP="00412DBD">
            <w:pPr>
              <w:pStyle w:val="TableText"/>
              <w:jc w:val="center"/>
            </w:pPr>
            <w:r w:rsidRPr="001E536B">
              <w:t>Brisbane</w:t>
            </w:r>
          </w:p>
        </w:tc>
      </w:tr>
      <w:tr w:rsidR="00412DBD" w14:paraId="1B65EDAF" w14:textId="77777777" w:rsidTr="008B6989">
        <w:trPr>
          <w:trHeight w:val="255"/>
        </w:trPr>
        <w:tc>
          <w:tcPr>
            <w:tcW w:w="4500" w:type="dxa"/>
            <w:tcBorders>
              <w:left w:val="single" w:sz="2" w:space="0" w:color="231F20"/>
              <w:right w:val="single" w:sz="2" w:space="0" w:color="231F20"/>
            </w:tcBorders>
            <w:shd w:val="clear" w:color="auto" w:fill="E6E7E8"/>
          </w:tcPr>
          <w:p w14:paraId="49AEBA7A" w14:textId="246DCEB6" w:rsidR="00412DBD" w:rsidRPr="008B6989" w:rsidRDefault="008B6989" w:rsidP="00412DBD">
            <w:pPr>
              <w:pStyle w:val="TableText"/>
              <w:rPr>
                <w:rFonts w:asciiTheme="minorHAnsi" w:hAnsiTheme="minorHAnsi" w:cstheme="minorHAnsi"/>
                <w:szCs w:val="16"/>
              </w:rPr>
            </w:pPr>
            <w:r w:rsidRPr="008B6989">
              <w:rPr>
                <w:rFonts w:asciiTheme="minorHAnsi" w:hAnsiTheme="minorHAnsi" w:cstheme="minorHAnsi"/>
                <w:color w:val="auto"/>
                <w:szCs w:val="16"/>
                <w:lang w:val="en-US"/>
              </w:rPr>
              <w:t xml:space="preserve">Brisbane Leica Geosystems Pty Ltd Brisbane </w:t>
            </w:r>
            <w:proofErr w:type="spellStart"/>
            <w:r w:rsidRPr="008B6989">
              <w:rPr>
                <w:rFonts w:asciiTheme="minorHAnsi" w:hAnsiTheme="minorHAnsi" w:cstheme="minorHAnsi"/>
                <w:color w:val="auto"/>
                <w:szCs w:val="16"/>
                <w:lang w:val="en-US"/>
              </w:rPr>
              <w:t>MineSight</w:t>
            </w:r>
            <w:proofErr w:type="spellEnd"/>
          </w:p>
        </w:tc>
        <w:tc>
          <w:tcPr>
            <w:tcW w:w="1710" w:type="dxa"/>
            <w:vMerge/>
            <w:tcBorders>
              <w:left w:val="single" w:sz="2" w:space="0" w:color="231F20"/>
              <w:right w:val="single" w:sz="2" w:space="0" w:color="231F20"/>
            </w:tcBorders>
            <w:shd w:val="clear" w:color="auto" w:fill="F9F9F9"/>
            <w:vAlign w:val="center"/>
          </w:tcPr>
          <w:p w14:paraId="4F34A3F9"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E6E7E8"/>
          </w:tcPr>
          <w:p w14:paraId="31837681" w14:textId="77777777" w:rsidR="00412DBD" w:rsidRPr="001E536B" w:rsidRDefault="00412DBD" w:rsidP="00412DBD">
            <w:pPr>
              <w:pStyle w:val="TableText"/>
              <w:jc w:val="center"/>
            </w:pPr>
            <w:proofErr w:type="spellStart"/>
            <w:r w:rsidRPr="001E536B">
              <w:t>Williamtown</w:t>
            </w:r>
            <w:proofErr w:type="spellEnd"/>
          </w:p>
        </w:tc>
      </w:tr>
      <w:tr w:rsidR="00412DBD" w14:paraId="2624CEE3" w14:textId="77777777" w:rsidTr="00412DBD">
        <w:trPr>
          <w:trHeight w:val="99"/>
        </w:trPr>
        <w:tc>
          <w:tcPr>
            <w:tcW w:w="4500" w:type="dxa"/>
            <w:tcBorders>
              <w:left w:val="single" w:sz="2" w:space="0" w:color="231F20"/>
              <w:right w:val="single" w:sz="2" w:space="0" w:color="231F20"/>
            </w:tcBorders>
            <w:shd w:val="clear" w:color="auto" w:fill="F9F9F9"/>
          </w:tcPr>
          <w:p w14:paraId="305C1C9B" w14:textId="77777777" w:rsidR="00412DBD" w:rsidRPr="009E4522" w:rsidRDefault="00412DBD" w:rsidP="00412DBD">
            <w:pPr>
              <w:pStyle w:val="TableText"/>
            </w:pPr>
            <w:proofErr w:type="spellStart"/>
            <w:r w:rsidRPr="009E4522">
              <w:t>MiPlan</w:t>
            </w:r>
            <w:proofErr w:type="spellEnd"/>
            <w:r w:rsidRPr="009E4522">
              <w:t xml:space="preserve"> Consulting Pty Ltd</w:t>
            </w:r>
          </w:p>
        </w:tc>
        <w:tc>
          <w:tcPr>
            <w:tcW w:w="1710" w:type="dxa"/>
            <w:vMerge/>
            <w:tcBorders>
              <w:left w:val="single" w:sz="2" w:space="0" w:color="231F20"/>
              <w:right w:val="single" w:sz="2" w:space="0" w:color="231F20"/>
            </w:tcBorders>
            <w:shd w:val="clear" w:color="auto" w:fill="F9F9F9"/>
            <w:vAlign w:val="center"/>
          </w:tcPr>
          <w:p w14:paraId="58C22B77"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F9F9F9"/>
          </w:tcPr>
          <w:p w14:paraId="2C0A672C" w14:textId="77777777" w:rsidR="00412DBD" w:rsidRPr="001E536B" w:rsidRDefault="00412DBD" w:rsidP="00412DBD">
            <w:pPr>
              <w:pStyle w:val="TableText"/>
              <w:jc w:val="center"/>
            </w:pPr>
            <w:r w:rsidRPr="001E536B">
              <w:t>Brisbane</w:t>
            </w:r>
          </w:p>
        </w:tc>
      </w:tr>
      <w:tr w:rsidR="00412DBD" w14:paraId="144BE133" w14:textId="77777777" w:rsidTr="00412DBD">
        <w:trPr>
          <w:trHeight w:val="378"/>
        </w:trPr>
        <w:tc>
          <w:tcPr>
            <w:tcW w:w="4500" w:type="dxa"/>
            <w:tcBorders>
              <w:left w:val="single" w:sz="2" w:space="0" w:color="231F20"/>
              <w:right w:val="single" w:sz="2" w:space="0" w:color="231F20"/>
            </w:tcBorders>
            <w:shd w:val="clear" w:color="auto" w:fill="E6E7E8"/>
          </w:tcPr>
          <w:p w14:paraId="6D21B460" w14:textId="77777777" w:rsidR="00412DBD" w:rsidRPr="009E4522" w:rsidRDefault="00412DBD" w:rsidP="00412DBD">
            <w:pPr>
              <w:pStyle w:val="TableText"/>
            </w:pPr>
            <w:proofErr w:type="spellStart"/>
            <w:r w:rsidRPr="009E4522">
              <w:t>Minesight</w:t>
            </w:r>
            <w:proofErr w:type="spellEnd"/>
            <w:r w:rsidRPr="009E4522">
              <w:t xml:space="preserve"> Applications Pty Ltd.</w:t>
            </w:r>
          </w:p>
        </w:tc>
        <w:tc>
          <w:tcPr>
            <w:tcW w:w="1710" w:type="dxa"/>
            <w:vMerge/>
            <w:tcBorders>
              <w:left w:val="single" w:sz="2" w:space="0" w:color="231F20"/>
              <w:right w:val="single" w:sz="2" w:space="0" w:color="231F20"/>
            </w:tcBorders>
            <w:shd w:val="clear" w:color="auto" w:fill="F9F9F9"/>
            <w:vAlign w:val="center"/>
          </w:tcPr>
          <w:p w14:paraId="4111C5E1"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E6E7E8"/>
          </w:tcPr>
          <w:p w14:paraId="61E11E14" w14:textId="77777777" w:rsidR="00412DBD" w:rsidRPr="001E536B" w:rsidRDefault="00412DBD" w:rsidP="00412DBD">
            <w:pPr>
              <w:pStyle w:val="TableText"/>
              <w:jc w:val="center"/>
            </w:pPr>
            <w:r w:rsidRPr="001E536B">
              <w:t>Perth</w:t>
            </w:r>
          </w:p>
        </w:tc>
      </w:tr>
      <w:tr w:rsidR="00412DBD" w14:paraId="4CAFBC53" w14:textId="77777777" w:rsidTr="00412DBD">
        <w:trPr>
          <w:trHeight w:val="46"/>
        </w:trPr>
        <w:tc>
          <w:tcPr>
            <w:tcW w:w="9000" w:type="dxa"/>
            <w:gridSpan w:val="3"/>
            <w:tcBorders>
              <w:left w:val="single" w:sz="2" w:space="0" w:color="231F20"/>
              <w:right w:val="single" w:sz="2" w:space="0" w:color="231F20"/>
            </w:tcBorders>
            <w:shd w:val="clear" w:color="auto" w:fill="333333" w:themeFill="background1"/>
            <w:vAlign w:val="center"/>
          </w:tcPr>
          <w:p w14:paraId="3E0B25A3" w14:textId="77777777" w:rsidR="00412DBD" w:rsidRPr="00B145FF" w:rsidRDefault="00412DBD" w:rsidP="00412DBD">
            <w:pPr>
              <w:pStyle w:val="TableText"/>
              <w:jc w:val="center"/>
              <w:rPr>
                <w:sz w:val="2"/>
                <w:szCs w:val="2"/>
              </w:rPr>
            </w:pPr>
            <w:r w:rsidRPr="00B145FF">
              <w:rPr>
                <w:sz w:val="2"/>
                <w:szCs w:val="2"/>
              </w:rPr>
              <w:t>x</w:t>
            </w:r>
          </w:p>
        </w:tc>
      </w:tr>
      <w:tr w:rsidR="00412DBD" w14:paraId="4167283C" w14:textId="77777777" w:rsidTr="00412DBD">
        <w:trPr>
          <w:trHeight w:val="153"/>
        </w:trPr>
        <w:tc>
          <w:tcPr>
            <w:tcW w:w="4500" w:type="dxa"/>
            <w:tcBorders>
              <w:left w:val="single" w:sz="2" w:space="0" w:color="231F20"/>
              <w:right w:val="single" w:sz="2" w:space="0" w:color="231F20"/>
            </w:tcBorders>
            <w:shd w:val="clear" w:color="auto" w:fill="E6E7E8"/>
          </w:tcPr>
          <w:p w14:paraId="0CD89B64" w14:textId="77777777" w:rsidR="00412DBD" w:rsidRPr="001E536B" w:rsidRDefault="00412DBD" w:rsidP="00412DBD">
            <w:pPr>
              <w:pStyle w:val="TableText"/>
            </w:pPr>
            <w:r w:rsidRPr="001E536B">
              <w:t xml:space="preserve">Hexagon Mining </w:t>
            </w:r>
            <w:proofErr w:type="spellStart"/>
            <w:r w:rsidRPr="001E536B">
              <w:t>Tecnologia</w:t>
            </w:r>
            <w:proofErr w:type="spellEnd"/>
            <w:r w:rsidRPr="001E536B">
              <w:t xml:space="preserve"> e </w:t>
            </w:r>
            <w:proofErr w:type="spellStart"/>
            <w:r w:rsidRPr="001E536B">
              <w:t>Sistemas</w:t>
            </w:r>
            <w:proofErr w:type="spellEnd"/>
            <w:r w:rsidRPr="001E536B">
              <w:t xml:space="preserve"> S/A</w:t>
            </w:r>
          </w:p>
        </w:tc>
        <w:tc>
          <w:tcPr>
            <w:tcW w:w="1710" w:type="dxa"/>
            <w:vMerge w:val="restart"/>
            <w:tcBorders>
              <w:left w:val="single" w:sz="2" w:space="0" w:color="231F20"/>
              <w:right w:val="single" w:sz="2" w:space="0" w:color="231F20"/>
            </w:tcBorders>
            <w:shd w:val="clear" w:color="auto" w:fill="F9F9F9"/>
            <w:vAlign w:val="center"/>
          </w:tcPr>
          <w:p w14:paraId="6CCDF9A2" w14:textId="77777777" w:rsidR="00412DBD" w:rsidRPr="001E536B" w:rsidRDefault="00412DBD" w:rsidP="00412DBD">
            <w:pPr>
              <w:pStyle w:val="TableText"/>
              <w:jc w:val="center"/>
            </w:pPr>
            <w:r w:rsidRPr="001E536B">
              <w:t>Brazil</w:t>
            </w:r>
          </w:p>
        </w:tc>
        <w:tc>
          <w:tcPr>
            <w:tcW w:w="2790" w:type="dxa"/>
            <w:tcBorders>
              <w:left w:val="single" w:sz="2" w:space="0" w:color="231F20"/>
              <w:right w:val="single" w:sz="2" w:space="0" w:color="231F20"/>
            </w:tcBorders>
            <w:shd w:val="clear" w:color="auto" w:fill="E6E7E8"/>
          </w:tcPr>
          <w:p w14:paraId="34EE9F6F" w14:textId="77777777" w:rsidR="00412DBD" w:rsidRPr="001E536B" w:rsidRDefault="00412DBD" w:rsidP="00412DBD">
            <w:pPr>
              <w:pStyle w:val="TableText"/>
              <w:jc w:val="center"/>
            </w:pPr>
            <w:r w:rsidRPr="001E536B">
              <w:t>Belo Horizonte, MG</w:t>
            </w:r>
          </w:p>
        </w:tc>
      </w:tr>
      <w:tr w:rsidR="00412DBD" w14:paraId="0E075714" w14:textId="77777777" w:rsidTr="00412DBD">
        <w:trPr>
          <w:trHeight w:val="495"/>
        </w:trPr>
        <w:tc>
          <w:tcPr>
            <w:tcW w:w="4500" w:type="dxa"/>
            <w:tcBorders>
              <w:left w:val="single" w:sz="2" w:space="0" w:color="231F20"/>
              <w:right w:val="single" w:sz="2" w:space="0" w:color="231F20"/>
            </w:tcBorders>
            <w:shd w:val="clear" w:color="auto" w:fill="F9F9F9"/>
          </w:tcPr>
          <w:p w14:paraId="2D7F6781" w14:textId="77777777" w:rsidR="00412DBD" w:rsidRPr="001E536B" w:rsidRDefault="00412DBD" w:rsidP="00412DBD">
            <w:pPr>
              <w:pStyle w:val="TableText"/>
            </w:pPr>
            <w:proofErr w:type="spellStart"/>
            <w:r w:rsidRPr="001E536B">
              <w:t>Manfra</w:t>
            </w:r>
            <w:proofErr w:type="spellEnd"/>
            <w:r w:rsidRPr="001E536B">
              <w:t xml:space="preserve"> &amp; Cia Ltda.</w:t>
            </w:r>
          </w:p>
        </w:tc>
        <w:tc>
          <w:tcPr>
            <w:tcW w:w="1710" w:type="dxa"/>
            <w:vMerge/>
            <w:tcBorders>
              <w:left w:val="single" w:sz="2" w:space="0" w:color="231F20"/>
              <w:right w:val="single" w:sz="2" w:space="0" w:color="231F20"/>
            </w:tcBorders>
            <w:shd w:val="clear" w:color="auto" w:fill="F9F9F9"/>
            <w:vAlign w:val="center"/>
          </w:tcPr>
          <w:p w14:paraId="0BB29450" w14:textId="77777777" w:rsidR="00412DBD" w:rsidRPr="001E536B" w:rsidRDefault="00412DBD" w:rsidP="00412DBD">
            <w:pPr>
              <w:pStyle w:val="TableText"/>
              <w:jc w:val="center"/>
            </w:pPr>
          </w:p>
        </w:tc>
        <w:tc>
          <w:tcPr>
            <w:tcW w:w="2790" w:type="dxa"/>
            <w:tcBorders>
              <w:left w:val="single" w:sz="2" w:space="0" w:color="231F20"/>
              <w:right w:val="single" w:sz="2" w:space="0" w:color="231F20"/>
            </w:tcBorders>
            <w:shd w:val="clear" w:color="auto" w:fill="F9F9F9"/>
          </w:tcPr>
          <w:p w14:paraId="5CF0695F" w14:textId="77777777" w:rsidR="00412DBD" w:rsidRPr="001E536B" w:rsidRDefault="00412DBD" w:rsidP="00412DBD">
            <w:pPr>
              <w:pStyle w:val="TableText"/>
              <w:jc w:val="center"/>
            </w:pPr>
            <w:r w:rsidRPr="001E536B">
              <w:t>Curitiba, PR</w:t>
            </w:r>
          </w:p>
        </w:tc>
      </w:tr>
      <w:tr w:rsidR="00412DBD" w14:paraId="1C3EA416" w14:textId="77777777" w:rsidTr="00412DBD">
        <w:trPr>
          <w:trHeight w:val="46"/>
        </w:trPr>
        <w:tc>
          <w:tcPr>
            <w:tcW w:w="9000" w:type="dxa"/>
            <w:gridSpan w:val="3"/>
            <w:tcBorders>
              <w:left w:val="single" w:sz="2" w:space="0" w:color="231F20"/>
              <w:right w:val="single" w:sz="2" w:space="0" w:color="231F20"/>
            </w:tcBorders>
            <w:shd w:val="clear" w:color="auto" w:fill="333333" w:themeFill="background1"/>
            <w:vAlign w:val="center"/>
          </w:tcPr>
          <w:p w14:paraId="4AA44D84" w14:textId="77777777" w:rsidR="00412DBD" w:rsidRPr="00B145FF" w:rsidRDefault="00412DBD" w:rsidP="00412DBD">
            <w:pPr>
              <w:pStyle w:val="TableText"/>
              <w:jc w:val="center"/>
              <w:rPr>
                <w:sz w:val="2"/>
                <w:szCs w:val="2"/>
              </w:rPr>
            </w:pPr>
          </w:p>
        </w:tc>
      </w:tr>
      <w:tr w:rsidR="00412DBD" w14:paraId="5C80AD2F" w14:textId="77777777" w:rsidTr="00412DBD">
        <w:trPr>
          <w:trHeight w:val="495"/>
        </w:trPr>
        <w:tc>
          <w:tcPr>
            <w:tcW w:w="4500" w:type="dxa"/>
            <w:tcBorders>
              <w:left w:val="single" w:sz="2" w:space="0" w:color="231F20"/>
              <w:right w:val="single" w:sz="2" w:space="0" w:color="231F20"/>
            </w:tcBorders>
            <w:shd w:val="clear" w:color="auto" w:fill="F9F9F9"/>
          </w:tcPr>
          <w:p w14:paraId="2A299F62" w14:textId="77777777" w:rsidR="00412DBD" w:rsidRDefault="00412DBD" w:rsidP="00412DBD">
            <w:pPr>
              <w:pStyle w:val="TableText"/>
              <w:rPr>
                <w:color w:val="231F20"/>
                <w:sz w:val="14"/>
              </w:rPr>
            </w:pPr>
            <w:proofErr w:type="spellStart"/>
            <w:r w:rsidRPr="007758B9">
              <w:t>Minesight</w:t>
            </w:r>
            <w:proofErr w:type="spellEnd"/>
            <w:r w:rsidRPr="007758B9">
              <w:t xml:space="preserve"> ULC</w:t>
            </w:r>
          </w:p>
        </w:tc>
        <w:tc>
          <w:tcPr>
            <w:tcW w:w="1710" w:type="dxa"/>
            <w:tcBorders>
              <w:left w:val="single" w:sz="2" w:space="0" w:color="231F20"/>
              <w:right w:val="single" w:sz="2" w:space="0" w:color="231F20"/>
            </w:tcBorders>
            <w:shd w:val="clear" w:color="auto" w:fill="F9F9F9"/>
            <w:vAlign w:val="center"/>
          </w:tcPr>
          <w:p w14:paraId="19D43FB5" w14:textId="77777777" w:rsidR="00412DBD" w:rsidRPr="001E536B" w:rsidRDefault="00412DBD" w:rsidP="00412DBD">
            <w:pPr>
              <w:pStyle w:val="TableText"/>
              <w:jc w:val="center"/>
            </w:pPr>
            <w:r w:rsidRPr="001E536B">
              <w:t>Canada</w:t>
            </w:r>
          </w:p>
        </w:tc>
        <w:tc>
          <w:tcPr>
            <w:tcW w:w="2790" w:type="dxa"/>
            <w:tcBorders>
              <w:left w:val="single" w:sz="2" w:space="0" w:color="231F20"/>
              <w:right w:val="single" w:sz="2" w:space="0" w:color="231F20"/>
            </w:tcBorders>
            <w:shd w:val="clear" w:color="auto" w:fill="F9F9F9"/>
            <w:vAlign w:val="center"/>
          </w:tcPr>
          <w:p w14:paraId="7E9CB2B4" w14:textId="77777777" w:rsidR="00412DBD" w:rsidRPr="001E536B" w:rsidRDefault="00412DBD" w:rsidP="00412DBD">
            <w:pPr>
              <w:pStyle w:val="TableText"/>
              <w:jc w:val="center"/>
            </w:pPr>
            <w:r w:rsidRPr="001E536B">
              <w:t>British Columbia</w:t>
            </w:r>
          </w:p>
        </w:tc>
      </w:tr>
      <w:tr w:rsidR="00412DBD" w14:paraId="193C0919"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4F80BF69" w14:textId="77777777" w:rsidR="00412DBD" w:rsidRPr="00B145FF" w:rsidRDefault="00412DBD" w:rsidP="00412DBD">
            <w:pPr>
              <w:pStyle w:val="TableText"/>
              <w:jc w:val="center"/>
              <w:rPr>
                <w:sz w:val="2"/>
                <w:szCs w:val="2"/>
              </w:rPr>
            </w:pPr>
            <w:r>
              <w:rPr>
                <w:sz w:val="2"/>
                <w:szCs w:val="2"/>
              </w:rPr>
              <w:t>x</w:t>
            </w:r>
          </w:p>
        </w:tc>
      </w:tr>
      <w:tr w:rsidR="00412DBD" w14:paraId="2A0CD8C5" w14:textId="77777777" w:rsidTr="00412DBD">
        <w:trPr>
          <w:trHeight w:val="216"/>
        </w:trPr>
        <w:tc>
          <w:tcPr>
            <w:tcW w:w="4500" w:type="dxa"/>
            <w:tcBorders>
              <w:left w:val="single" w:sz="2" w:space="0" w:color="231F20"/>
              <w:right w:val="single" w:sz="2" w:space="0" w:color="231F20"/>
            </w:tcBorders>
            <w:shd w:val="clear" w:color="auto" w:fill="E6E7E8"/>
          </w:tcPr>
          <w:p w14:paraId="2F35B16A" w14:textId="77777777" w:rsidR="00412DBD" w:rsidRDefault="00412DBD" w:rsidP="00412DBD">
            <w:pPr>
              <w:pStyle w:val="TableText"/>
              <w:rPr>
                <w:color w:val="231F20"/>
                <w:sz w:val="14"/>
              </w:rPr>
            </w:pPr>
            <w:r w:rsidRPr="008751A5">
              <w:t xml:space="preserve">BMT South America </w:t>
            </w:r>
            <w:proofErr w:type="spellStart"/>
            <w:r w:rsidRPr="008751A5">
              <w:t>SpA</w:t>
            </w:r>
            <w:proofErr w:type="spellEnd"/>
          </w:p>
        </w:tc>
        <w:tc>
          <w:tcPr>
            <w:tcW w:w="1710" w:type="dxa"/>
            <w:vMerge w:val="restart"/>
            <w:tcBorders>
              <w:left w:val="single" w:sz="2" w:space="0" w:color="231F20"/>
              <w:right w:val="single" w:sz="2" w:space="0" w:color="231F20"/>
            </w:tcBorders>
            <w:shd w:val="clear" w:color="auto" w:fill="F9F9F9"/>
            <w:vAlign w:val="center"/>
          </w:tcPr>
          <w:p w14:paraId="39E4053A" w14:textId="77777777" w:rsidR="00412DBD" w:rsidRPr="001E536B" w:rsidRDefault="00412DBD" w:rsidP="00412DBD">
            <w:pPr>
              <w:pStyle w:val="TableText"/>
              <w:jc w:val="center"/>
            </w:pPr>
            <w:r w:rsidRPr="001E536B">
              <w:t>Chile</w:t>
            </w:r>
          </w:p>
        </w:tc>
        <w:tc>
          <w:tcPr>
            <w:tcW w:w="2790" w:type="dxa"/>
            <w:vMerge w:val="restart"/>
            <w:tcBorders>
              <w:left w:val="single" w:sz="2" w:space="0" w:color="231F20"/>
              <w:right w:val="single" w:sz="2" w:space="0" w:color="231F20"/>
            </w:tcBorders>
            <w:shd w:val="clear" w:color="auto" w:fill="F9F9F9"/>
            <w:vAlign w:val="center"/>
          </w:tcPr>
          <w:p w14:paraId="7BA9541D" w14:textId="77777777" w:rsidR="00412DBD" w:rsidRPr="001E536B" w:rsidRDefault="00412DBD" w:rsidP="00412DBD">
            <w:pPr>
              <w:pStyle w:val="TableText"/>
              <w:jc w:val="center"/>
            </w:pPr>
            <w:r w:rsidRPr="001E536B">
              <w:t>Santiago</w:t>
            </w:r>
          </w:p>
        </w:tc>
      </w:tr>
      <w:tr w:rsidR="00412DBD" w14:paraId="771099D8" w14:textId="77777777" w:rsidTr="00412DBD">
        <w:trPr>
          <w:trHeight w:val="180"/>
        </w:trPr>
        <w:tc>
          <w:tcPr>
            <w:tcW w:w="4500" w:type="dxa"/>
            <w:tcBorders>
              <w:left w:val="single" w:sz="2" w:space="0" w:color="231F20"/>
              <w:right w:val="single" w:sz="2" w:space="0" w:color="231F20"/>
            </w:tcBorders>
            <w:shd w:val="clear" w:color="auto" w:fill="FFFFFF" w:themeFill="text2"/>
          </w:tcPr>
          <w:p w14:paraId="49E4B756" w14:textId="77777777" w:rsidR="00412DBD" w:rsidRDefault="00412DBD" w:rsidP="00412DBD">
            <w:pPr>
              <w:pStyle w:val="TableText"/>
              <w:rPr>
                <w:color w:val="231F20"/>
                <w:sz w:val="14"/>
              </w:rPr>
            </w:pPr>
            <w:r w:rsidRPr="007758B9">
              <w:t xml:space="preserve">Hexagon Mining </w:t>
            </w:r>
            <w:proofErr w:type="spellStart"/>
            <w:r w:rsidRPr="007758B9">
              <w:t>Limitada</w:t>
            </w:r>
            <w:proofErr w:type="spellEnd"/>
          </w:p>
        </w:tc>
        <w:tc>
          <w:tcPr>
            <w:tcW w:w="1710" w:type="dxa"/>
            <w:vMerge/>
            <w:tcBorders>
              <w:left w:val="single" w:sz="2" w:space="0" w:color="231F20"/>
              <w:right w:val="single" w:sz="2" w:space="0" w:color="231F20"/>
            </w:tcBorders>
            <w:shd w:val="clear" w:color="auto" w:fill="F9F9F9"/>
            <w:vAlign w:val="center"/>
          </w:tcPr>
          <w:p w14:paraId="665A39CD" w14:textId="77777777" w:rsidR="00412DBD" w:rsidRDefault="00412DBD" w:rsidP="00412DBD">
            <w:pPr>
              <w:pStyle w:val="TableText"/>
              <w:jc w:val="center"/>
              <w:rPr>
                <w:color w:val="231F20"/>
                <w:sz w:val="14"/>
              </w:rPr>
            </w:pPr>
          </w:p>
        </w:tc>
        <w:tc>
          <w:tcPr>
            <w:tcW w:w="2790" w:type="dxa"/>
            <w:vMerge/>
            <w:tcBorders>
              <w:left w:val="single" w:sz="2" w:space="0" w:color="231F20"/>
              <w:right w:val="single" w:sz="2" w:space="0" w:color="231F20"/>
            </w:tcBorders>
            <w:shd w:val="clear" w:color="auto" w:fill="F9F9F9"/>
            <w:vAlign w:val="center"/>
          </w:tcPr>
          <w:p w14:paraId="2E686C54" w14:textId="77777777" w:rsidR="00412DBD" w:rsidRDefault="00412DBD" w:rsidP="00412DBD">
            <w:pPr>
              <w:pStyle w:val="TableText"/>
              <w:jc w:val="center"/>
              <w:rPr>
                <w:color w:val="231F20"/>
                <w:sz w:val="14"/>
              </w:rPr>
            </w:pPr>
          </w:p>
        </w:tc>
      </w:tr>
      <w:tr w:rsidR="00412DBD" w14:paraId="54403FBD" w14:textId="77777777" w:rsidTr="00412DBD">
        <w:trPr>
          <w:trHeight w:val="180"/>
        </w:trPr>
        <w:tc>
          <w:tcPr>
            <w:tcW w:w="4500" w:type="dxa"/>
            <w:tcBorders>
              <w:left w:val="single" w:sz="2" w:space="0" w:color="231F20"/>
              <w:right w:val="single" w:sz="2" w:space="0" w:color="231F20"/>
            </w:tcBorders>
            <w:shd w:val="clear" w:color="auto" w:fill="E6E7E8"/>
          </w:tcPr>
          <w:p w14:paraId="52EAF0AC" w14:textId="77777777" w:rsidR="00412DBD" w:rsidRDefault="00412DBD" w:rsidP="00412DBD">
            <w:pPr>
              <w:pStyle w:val="TableText"/>
              <w:rPr>
                <w:color w:val="231F20"/>
                <w:sz w:val="14"/>
              </w:rPr>
            </w:pPr>
            <w:r w:rsidRPr="007758B9">
              <w:t xml:space="preserve">Sistema </w:t>
            </w:r>
            <w:proofErr w:type="spellStart"/>
            <w:r w:rsidRPr="007758B9">
              <w:t>Minesight</w:t>
            </w:r>
            <w:proofErr w:type="spellEnd"/>
            <w:r w:rsidRPr="007758B9">
              <w:t xml:space="preserve"> Applications </w:t>
            </w:r>
            <w:proofErr w:type="spellStart"/>
            <w:r w:rsidRPr="007758B9">
              <w:t>Limitada</w:t>
            </w:r>
            <w:proofErr w:type="spellEnd"/>
          </w:p>
        </w:tc>
        <w:tc>
          <w:tcPr>
            <w:tcW w:w="1710" w:type="dxa"/>
            <w:vMerge/>
            <w:tcBorders>
              <w:left w:val="single" w:sz="2" w:space="0" w:color="231F20"/>
              <w:right w:val="single" w:sz="2" w:space="0" w:color="231F20"/>
            </w:tcBorders>
            <w:shd w:val="clear" w:color="auto" w:fill="F9F9F9"/>
            <w:vAlign w:val="center"/>
          </w:tcPr>
          <w:p w14:paraId="1A1FE468" w14:textId="77777777" w:rsidR="00412DBD" w:rsidRDefault="00412DBD" w:rsidP="00412DBD">
            <w:pPr>
              <w:pStyle w:val="TableText"/>
              <w:jc w:val="center"/>
              <w:rPr>
                <w:color w:val="231F20"/>
                <w:sz w:val="14"/>
              </w:rPr>
            </w:pPr>
          </w:p>
        </w:tc>
        <w:tc>
          <w:tcPr>
            <w:tcW w:w="2790" w:type="dxa"/>
            <w:vMerge/>
            <w:tcBorders>
              <w:left w:val="single" w:sz="2" w:space="0" w:color="231F20"/>
              <w:right w:val="single" w:sz="2" w:space="0" w:color="231F20"/>
            </w:tcBorders>
            <w:shd w:val="clear" w:color="auto" w:fill="F9F9F9"/>
            <w:vAlign w:val="center"/>
          </w:tcPr>
          <w:p w14:paraId="548A2F2A" w14:textId="77777777" w:rsidR="00412DBD" w:rsidRDefault="00412DBD" w:rsidP="00412DBD">
            <w:pPr>
              <w:pStyle w:val="TableText"/>
              <w:jc w:val="center"/>
              <w:rPr>
                <w:color w:val="231F20"/>
                <w:sz w:val="14"/>
              </w:rPr>
            </w:pPr>
          </w:p>
        </w:tc>
      </w:tr>
      <w:tr w:rsidR="00412DBD" w14:paraId="4B09F9BF" w14:textId="77777777" w:rsidTr="00412DBD">
        <w:trPr>
          <w:trHeight w:val="369"/>
        </w:trPr>
        <w:tc>
          <w:tcPr>
            <w:tcW w:w="4500" w:type="dxa"/>
            <w:tcBorders>
              <w:left w:val="single" w:sz="2" w:space="0" w:color="231F20"/>
              <w:right w:val="single" w:sz="2" w:space="0" w:color="231F20"/>
            </w:tcBorders>
            <w:shd w:val="clear" w:color="auto" w:fill="FFFFFF" w:themeFill="text1"/>
          </w:tcPr>
          <w:p w14:paraId="3FDA1B90" w14:textId="77777777" w:rsidR="00412DBD" w:rsidRDefault="00412DBD" w:rsidP="00412DBD">
            <w:pPr>
              <w:pStyle w:val="TableText"/>
              <w:rPr>
                <w:color w:val="231F20"/>
                <w:sz w:val="14"/>
              </w:rPr>
            </w:pPr>
            <w:r w:rsidRPr="008751A5">
              <w:t xml:space="preserve">Split Engineering Chile </w:t>
            </w:r>
            <w:proofErr w:type="spellStart"/>
            <w:r w:rsidRPr="008751A5">
              <w:t>Ltda</w:t>
            </w:r>
            <w:proofErr w:type="spellEnd"/>
          </w:p>
        </w:tc>
        <w:tc>
          <w:tcPr>
            <w:tcW w:w="1710" w:type="dxa"/>
            <w:vMerge/>
            <w:tcBorders>
              <w:left w:val="single" w:sz="2" w:space="0" w:color="231F20"/>
              <w:right w:val="single" w:sz="2" w:space="0" w:color="231F20"/>
            </w:tcBorders>
            <w:shd w:val="clear" w:color="auto" w:fill="F9F9F9"/>
            <w:vAlign w:val="center"/>
          </w:tcPr>
          <w:p w14:paraId="2D603E5A" w14:textId="77777777" w:rsidR="00412DBD" w:rsidRDefault="00412DBD" w:rsidP="00412DBD">
            <w:pPr>
              <w:pStyle w:val="TableText"/>
              <w:jc w:val="center"/>
              <w:rPr>
                <w:color w:val="231F20"/>
                <w:sz w:val="14"/>
              </w:rPr>
            </w:pPr>
          </w:p>
        </w:tc>
        <w:tc>
          <w:tcPr>
            <w:tcW w:w="2790" w:type="dxa"/>
            <w:vMerge/>
            <w:tcBorders>
              <w:left w:val="single" w:sz="2" w:space="0" w:color="231F20"/>
              <w:right w:val="single" w:sz="2" w:space="0" w:color="231F20"/>
            </w:tcBorders>
            <w:shd w:val="clear" w:color="auto" w:fill="F9F9F9"/>
            <w:vAlign w:val="center"/>
          </w:tcPr>
          <w:p w14:paraId="6044D0C5" w14:textId="77777777" w:rsidR="00412DBD" w:rsidRDefault="00412DBD" w:rsidP="00412DBD">
            <w:pPr>
              <w:pStyle w:val="TableText"/>
              <w:jc w:val="center"/>
              <w:rPr>
                <w:color w:val="231F20"/>
                <w:sz w:val="14"/>
              </w:rPr>
            </w:pPr>
          </w:p>
        </w:tc>
      </w:tr>
      <w:tr w:rsidR="00412DBD" w14:paraId="2EEE6271"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58BEE89B" w14:textId="77777777" w:rsidR="00412DBD" w:rsidRPr="00B145FF" w:rsidRDefault="00412DBD" w:rsidP="00412DBD">
            <w:pPr>
              <w:pStyle w:val="TableText"/>
              <w:jc w:val="center"/>
              <w:rPr>
                <w:color w:val="231F20"/>
                <w:sz w:val="2"/>
                <w:szCs w:val="2"/>
              </w:rPr>
            </w:pPr>
          </w:p>
        </w:tc>
      </w:tr>
      <w:tr w:rsidR="00412DBD" w14:paraId="2C877EB8" w14:textId="77777777" w:rsidTr="00412DBD">
        <w:trPr>
          <w:trHeight w:val="405"/>
        </w:trPr>
        <w:tc>
          <w:tcPr>
            <w:tcW w:w="4500" w:type="dxa"/>
            <w:tcBorders>
              <w:left w:val="single" w:sz="2" w:space="0" w:color="231F20"/>
              <w:right w:val="single" w:sz="2" w:space="0" w:color="231F20"/>
            </w:tcBorders>
            <w:shd w:val="clear" w:color="auto" w:fill="F9F9F9"/>
          </w:tcPr>
          <w:p w14:paraId="0A43649E" w14:textId="77777777" w:rsidR="00412DBD" w:rsidRDefault="00412DBD" w:rsidP="00412DBD">
            <w:pPr>
              <w:pStyle w:val="TableText"/>
              <w:rPr>
                <w:color w:val="231F20"/>
                <w:sz w:val="14"/>
              </w:rPr>
            </w:pPr>
            <w:r w:rsidRPr="007758B9">
              <w:t>Hexagon Mining Colombia S.A.S.</w:t>
            </w:r>
          </w:p>
        </w:tc>
        <w:tc>
          <w:tcPr>
            <w:tcW w:w="1710" w:type="dxa"/>
            <w:tcBorders>
              <w:left w:val="single" w:sz="2" w:space="0" w:color="231F20"/>
              <w:right w:val="single" w:sz="2" w:space="0" w:color="231F20"/>
            </w:tcBorders>
            <w:shd w:val="clear" w:color="auto" w:fill="F9F9F9"/>
            <w:vAlign w:val="center"/>
          </w:tcPr>
          <w:p w14:paraId="5677B386" w14:textId="77777777" w:rsidR="00412DBD" w:rsidRDefault="00412DBD" w:rsidP="00412DBD">
            <w:pPr>
              <w:pStyle w:val="TableText"/>
              <w:jc w:val="center"/>
              <w:rPr>
                <w:color w:val="231F20"/>
                <w:sz w:val="14"/>
              </w:rPr>
            </w:pPr>
            <w:r w:rsidRPr="007758B9">
              <w:t>Colombia</w:t>
            </w:r>
          </w:p>
        </w:tc>
        <w:tc>
          <w:tcPr>
            <w:tcW w:w="2790" w:type="dxa"/>
            <w:tcBorders>
              <w:left w:val="single" w:sz="2" w:space="0" w:color="231F20"/>
              <w:right w:val="single" w:sz="2" w:space="0" w:color="231F20"/>
            </w:tcBorders>
            <w:shd w:val="clear" w:color="auto" w:fill="F9F9F9"/>
            <w:vAlign w:val="center"/>
          </w:tcPr>
          <w:p w14:paraId="492F0960" w14:textId="77777777" w:rsidR="00412DBD" w:rsidRDefault="00412DBD" w:rsidP="00412DBD">
            <w:pPr>
              <w:pStyle w:val="TableText"/>
              <w:jc w:val="center"/>
              <w:rPr>
                <w:color w:val="231F20"/>
                <w:sz w:val="14"/>
              </w:rPr>
            </w:pPr>
            <w:r w:rsidRPr="007758B9">
              <w:t>Bogotá</w:t>
            </w:r>
          </w:p>
        </w:tc>
      </w:tr>
      <w:tr w:rsidR="00412DBD" w14:paraId="7685F4EE"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65152053" w14:textId="77777777" w:rsidR="00412DBD" w:rsidRPr="00B145FF" w:rsidRDefault="00412DBD" w:rsidP="00412DBD">
            <w:pPr>
              <w:pStyle w:val="TableText"/>
              <w:jc w:val="center"/>
              <w:rPr>
                <w:sz w:val="2"/>
                <w:szCs w:val="2"/>
              </w:rPr>
            </w:pPr>
          </w:p>
        </w:tc>
      </w:tr>
      <w:tr w:rsidR="00412DBD" w14:paraId="1B485CF1" w14:textId="77777777" w:rsidTr="00412DBD">
        <w:trPr>
          <w:trHeight w:val="171"/>
        </w:trPr>
        <w:tc>
          <w:tcPr>
            <w:tcW w:w="4500" w:type="dxa"/>
            <w:tcBorders>
              <w:left w:val="single" w:sz="2" w:space="0" w:color="231F20"/>
              <w:right w:val="single" w:sz="2" w:space="0" w:color="231F20"/>
            </w:tcBorders>
            <w:shd w:val="clear" w:color="auto" w:fill="E6E7E8"/>
          </w:tcPr>
          <w:p w14:paraId="0C123411" w14:textId="77777777" w:rsidR="00412DBD" w:rsidRDefault="00412DBD" w:rsidP="00412DBD">
            <w:pPr>
              <w:pStyle w:val="TableText"/>
              <w:rPr>
                <w:color w:val="231F20"/>
                <w:sz w:val="14"/>
              </w:rPr>
            </w:pPr>
            <w:r>
              <w:t>BMT Africa Pty Ltd. – Branch Ghana</w:t>
            </w:r>
          </w:p>
        </w:tc>
        <w:tc>
          <w:tcPr>
            <w:tcW w:w="1710" w:type="dxa"/>
            <w:vMerge w:val="restart"/>
            <w:tcBorders>
              <w:left w:val="single" w:sz="2" w:space="0" w:color="231F20"/>
              <w:right w:val="single" w:sz="2" w:space="0" w:color="231F20"/>
            </w:tcBorders>
            <w:shd w:val="clear" w:color="auto" w:fill="F9F9F9"/>
            <w:vAlign w:val="center"/>
          </w:tcPr>
          <w:p w14:paraId="31642F57" w14:textId="77777777" w:rsidR="00412DBD" w:rsidRDefault="00412DBD" w:rsidP="00412DBD">
            <w:pPr>
              <w:pStyle w:val="TableText"/>
              <w:jc w:val="center"/>
              <w:rPr>
                <w:color w:val="231F20"/>
                <w:sz w:val="14"/>
              </w:rPr>
            </w:pPr>
            <w:r>
              <w:t>Ghana</w:t>
            </w:r>
          </w:p>
        </w:tc>
        <w:tc>
          <w:tcPr>
            <w:tcW w:w="2790" w:type="dxa"/>
            <w:vMerge w:val="restart"/>
            <w:tcBorders>
              <w:left w:val="single" w:sz="2" w:space="0" w:color="231F20"/>
              <w:right w:val="single" w:sz="2" w:space="0" w:color="231F20"/>
            </w:tcBorders>
            <w:shd w:val="clear" w:color="auto" w:fill="F9F9F9"/>
            <w:vAlign w:val="center"/>
          </w:tcPr>
          <w:p w14:paraId="6B78FB2A" w14:textId="77777777" w:rsidR="00412DBD" w:rsidRDefault="00412DBD" w:rsidP="00412DBD">
            <w:pPr>
              <w:pStyle w:val="TableText"/>
              <w:jc w:val="center"/>
              <w:rPr>
                <w:color w:val="231F20"/>
                <w:sz w:val="14"/>
              </w:rPr>
            </w:pPr>
            <w:r>
              <w:t>Accra</w:t>
            </w:r>
          </w:p>
        </w:tc>
      </w:tr>
      <w:tr w:rsidR="00412DBD" w14:paraId="79469BD9" w14:textId="77777777" w:rsidTr="00412DBD">
        <w:trPr>
          <w:trHeight w:val="414"/>
        </w:trPr>
        <w:tc>
          <w:tcPr>
            <w:tcW w:w="4500" w:type="dxa"/>
            <w:tcBorders>
              <w:left w:val="single" w:sz="2" w:space="0" w:color="231F20"/>
              <w:right w:val="single" w:sz="2" w:space="0" w:color="231F20"/>
            </w:tcBorders>
            <w:shd w:val="clear" w:color="auto" w:fill="FFFFFF" w:themeFill="text2"/>
          </w:tcPr>
          <w:p w14:paraId="42224592" w14:textId="77777777" w:rsidR="00412DBD" w:rsidRDefault="00412DBD" w:rsidP="00412DBD">
            <w:pPr>
              <w:pStyle w:val="TableText"/>
              <w:rPr>
                <w:color w:val="231F20"/>
                <w:sz w:val="14"/>
              </w:rPr>
            </w:pPr>
            <w:proofErr w:type="spellStart"/>
            <w:r>
              <w:t>Guardvant</w:t>
            </w:r>
            <w:proofErr w:type="spellEnd"/>
            <w:r>
              <w:t xml:space="preserve"> Ghana Ltd</w:t>
            </w:r>
          </w:p>
        </w:tc>
        <w:tc>
          <w:tcPr>
            <w:tcW w:w="1710" w:type="dxa"/>
            <w:vMerge/>
            <w:tcBorders>
              <w:left w:val="single" w:sz="2" w:space="0" w:color="231F20"/>
              <w:right w:val="single" w:sz="2" w:space="0" w:color="231F20"/>
            </w:tcBorders>
            <w:shd w:val="clear" w:color="auto" w:fill="F9F9F9"/>
            <w:vAlign w:val="center"/>
          </w:tcPr>
          <w:p w14:paraId="37D3B879" w14:textId="77777777" w:rsidR="00412DBD" w:rsidRDefault="00412DBD" w:rsidP="00412DBD">
            <w:pPr>
              <w:pStyle w:val="TableText"/>
              <w:jc w:val="center"/>
              <w:rPr>
                <w:color w:val="231F20"/>
                <w:sz w:val="14"/>
              </w:rPr>
            </w:pPr>
          </w:p>
        </w:tc>
        <w:tc>
          <w:tcPr>
            <w:tcW w:w="2790" w:type="dxa"/>
            <w:vMerge/>
            <w:tcBorders>
              <w:left w:val="single" w:sz="2" w:space="0" w:color="231F20"/>
              <w:right w:val="single" w:sz="2" w:space="0" w:color="231F20"/>
            </w:tcBorders>
            <w:shd w:val="clear" w:color="auto" w:fill="F9F9F9"/>
            <w:vAlign w:val="center"/>
          </w:tcPr>
          <w:p w14:paraId="5058C9E8" w14:textId="77777777" w:rsidR="00412DBD" w:rsidRDefault="00412DBD" w:rsidP="00412DBD">
            <w:pPr>
              <w:pStyle w:val="TableText"/>
              <w:jc w:val="center"/>
              <w:rPr>
                <w:color w:val="231F20"/>
                <w:sz w:val="14"/>
              </w:rPr>
            </w:pPr>
          </w:p>
        </w:tc>
      </w:tr>
      <w:tr w:rsidR="00412DBD" w14:paraId="3B2B63E5"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24D5DA7B" w14:textId="77777777" w:rsidR="00412DBD" w:rsidRPr="00B145FF" w:rsidRDefault="00412DBD" w:rsidP="00412DBD">
            <w:pPr>
              <w:pStyle w:val="TableText"/>
              <w:jc w:val="center"/>
              <w:rPr>
                <w:sz w:val="2"/>
                <w:szCs w:val="2"/>
              </w:rPr>
            </w:pPr>
          </w:p>
        </w:tc>
      </w:tr>
      <w:tr w:rsidR="00412DBD" w14:paraId="3F212EA9" w14:textId="77777777" w:rsidTr="00412DBD">
        <w:trPr>
          <w:trHeight w:val="405"/>
        </w:trPr>
        <w:tc>
          <w:tcPr>
            <w:tcW w:w="4500" w:type="dxa"/>
            <w:tcBorders>
              <w:left w:val="single" w:sz="2" w:space="0" w:color="231F20"/>
              <w:right w:val="single" w:sz="2" w:space="0" w:color="231F20"/>
            </w:tcBorders>
            <w:shd w:val="clear" w:color="auto" w:fill="F9F9F9"/>
          </w:tcPr>
          <w:p w14:paraId="0AA41F69" w14:textId="77777777" w:rsidR="00412DBD" w:rsidRPr="001E536B" w:rsidRDefault="00412DBD" w:rsidP="00412DBD">
            <w:pPr>
              <w:pStyle w:val="TableText"/>
            </w:pPr>
            <w:r w:rsidRPr="001E536B">
              <w:t xml:space="preserve">IDS </w:t>
            </w:r>
            <w:proofErr w:type="spellStart"/>
            <w:r w:rsidRPr="001E536B">
              <w:t>Georadar</w:t>
            </w:r>
            <w:proofErr w:type="spellEnd"/>
            <w:r w:rsidRPr="001E536B">
              <w:t xml:space="preserve"> S.R.L.</w:t>
            </w:r>
          </w:p>
        </w:tc>
        <w:tc>
          <w:tcPr>
            <w:tcW w:w="1710" w:type="dxa"/>
            <w:tcBorders>
              <w:left w:val="single" w:sz="2" w:space="0" w:color="231F20"/>
              <w:right w:val="single" w:sz="2" w:space="0" w:color="231F20"/>
            </w:tcBorders>
            <w:shd w:val="clear" w:color="auto" w:fill="F9F9F9"/>
            <w:vAlign w:val="center"/>
          </w:tcPr>
          <w:p w14:paraId="5555C31B" w14:textId="77777777" w:rsidR="00412DBD" w:rsidRPr="001E536B" w:rsidRDefault="00412DBD" w:rsidP="00412DBD">
            <w:pPr>
              <w:pStyle w:val="TableText"/>
              <w:jc w:val="center"/>
            </w:pPr>
            <w:r w:rsidRPr="001E536B">
              <w:t>Italy</w:t>
            </w:r>
          </w:p>
        </w:tc>
        <w:tc>
          <w:tcPr>
            <w:tcW w:w="2790" w:type="dxa"/>
            <w:tcBorders>
              <w:left w:val="single" w:sz="2" w:space="0" w:color="231F20"/>
              <w:right w:val="single" w:sz="2" w:space="0" w:color="231F20"/>
            </w:tcBorders>
            <w:shd w:val="clear" w:color="auto" w:fill="F9F9F9"/>
            <w:vAlign w:val="center"/>
          </w:tcPr>
          <w:p w14:paraId="562AB2FB" w14:textId="77777777" w:rsidR="00412DBD" w:rsidRPr="001E536B" w:rsidRDefault="00412DBD" w:rsidP="00412DBD">
            <w:pPr>
              <w:pStyle w:val="TableText"/>
              <w:jc w:val="center"/>
            </w:pPr>
            <w:r w:rsidRPr="001E536B">
              <w:t>Pisa</w:t>
            </w:r>
          </w:p>
        </w:tc>
      </w:tr>
      <w:tr w:rsidR="00412DBD" w14:paraId="03C230B1"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7707DD50" w14:textId="77777777" w:rsidR="00412DBD" w:rsidRPr="00B145FF" w:rsidRDefault="00412DBD" w:rsidP="00412DBD">
            <w:pPr>
              <w:pStyle w:val="TableText"/>
              <w:jc w:val="center"/>
              <w:rPr>
                <w:sz w:val="2"/>
                <w:szCs w:val="2"/>
              </w:rPr>
            </w:pPr>
          </w:p>
        </w:tc>
      </w:tr>
      <w:tr w:rsidR="00412DBD" w14:paraId="350F0E25" w14:textId="77777777" w:rsidTr="00412DBD">
        <w:trPr>
          <w:trHeight w:val="171"/>
        </w:trPr>
        <w:tc>
          <w:tcPr>
            <w:tcW w:w="4500" w:type="dxa"/>
            <w:tcBorders>
              <w:left w:val="single" w:sz="2" w:space="0" w:color="231F20"/>
              <w:right w:val="single" w:sz="2" w:space="0" w:color="231F20"/>
            </w:tcBorders>
            <w:shd w:val="clear" w:color="auto" w:fill="E6E7E8"/>
          </w:tcPr>
          <w:p w14:paraId="4BD295B2" w14:textId="77777777" w:rsidR="00412DBD" w:rsidRPr="00B145FF" w:rsidRDefault="00412DBD" w:rsidP="00412DBD">
            <w:pPr>
              <w:pStyle w:val="TableText"/>
            </w:pPr>
            <w:proofErr w:type="spellStart"/>
            <w:r w:rsidRPr="00B145FF">
              <w:t>Guardvant</w:t>
            </w:r>
            <w:proofErr w:type="spellEnd"/>
            <w:r w:rsidRPr="00B145FF">
              <w:t xml:space="preserve"> Mexico S de RL de CV</w:t>
            </w:r>
          </w:p>
        </w:tc>
        <w:tc>
          <w:tcPr>
            <w:tcW w:w="1710" w:type="dxa"/>
            <w:vMerge w:val="restart"/>
            <w:tcBorders>
              <w:left w:val="single" w:sz="2" w:space="0" w:color="231F20"/>
              <w:right w:val="single" w:sz="2" w:space="0" w:color="231F20"/>
            </w:tcBorders>
            <w:shd w:val="clear" w:color="auto" w:fill="F9F9F9"/>
            <w:vAlign w:val="center"/>
          </w:tcPr>
          <w:p w14:paraId="68C5AB9F" w14:textId="77777777" w:rsidR="00412DBD" w:rsidRPr="00B145FF" w:rsidRDefault="00412DBD" w:rsidP="00412DBD">
            <w:pPr>
              <w:pStyle w:val="TableText"/>
              <w:jc w:val="center"/>
            </w:pPr>
            <w:r w:rsidRPr="00B145FF">
              <w:t>Mexico</w:t>
            </w:r>
          </w:p>
        </w:tc>
        <w:tc>
          <w:tcPr>
            <w:tcW w:w="2790" w:type="dxa"/>
            <w:tcBorders>
              <w:left w:val="single" w:sz="2" w:space="0" w:color="231F20"/>
              <w:right w:val="single" w:sz="2" w:space="0" w:color="231F20"/>
            </w:tcBorders>
            <w:shd w:val="clear" w:color="auto" w:fill="E6E7E8"/>
          </w:tcPr>
          <w:p w14:paraId="0255EA6D" w14:textId="77777777" w:rsidR="00412DBD" w:rsidRPr="00B145FF" w:rsidRDefault="00412DBD" w:rsidP="00412DBD">
            <w:pPr>
              <w:pStyle w:val="TableText"/>
              <w:jc w:val="center"/>
            </w:pPr>
            <w:r w:rsidRPr="00B145FF">
              <w:t xml:space="preserve">Santa </w:t>
            </w:r>
            <w:proofErr w:type="spellStart"/>
            <w:r w:rsidRPr="00B145FF">
              <w:t>Fé</w:t>
            </w:r>
            <w:proofErr w:type="spellEnd"/>
          </w:p>
        </w:tc>
      </w:tr>
      <w:tr w:rsidR="00412DBD" w14:paraId="012478C7" w14:textId="77777777" w:rsidTr="00412DBD">
        <w:trPr>
          <w:trHeight w:val="324"/>
        </w:trPr>
        <w:tc>
          <w:tcPr>
            <w:tcW w:w="4500" w:type="dxa"/>
            <w:tcBorders>
              <w:left w:val="single" w:sz="2" w:space="0" w:color="231F20"/>
              <w:right w:val="single" w:sz="2" w:space="0" w:color="231F20"/>
            </w:tcBorders>
            <w:shd w:val="clear" w:color="auto" w:fill="FFFFFF" w:themeFill="text2"/>
          </w:tcPr>
          <w:p w14:paraId="1D9E8447" w14:textId="77777777" w:rsidR="00412DBD" w:rsidRPr="00B145FF" w:rsidRDefault="00412DBD" w:rsidP="00412DBD">
            <w:pPr>
              <w:pStyle w:val="TableText"/>
            </w:pPr>
            <w:r w:rsidRPr="00B145FF">
              <w:t>Hexagon Mining Mexico</w:t>
            </w:r>
          </w:p>
        </w:tc>
        <w:tc>
          <w:tcPr>
            <w:tcW w:w="1710" w:type="dxa"/>
            <w:vMerge/>
            <w:tcBorders>
              <w:left w:val="single" w:sz="2" w:space="0" w:color="231F20"/>
              <w:right w:val="single" w:sz="2" w:space="0" w:color="231F20"/>
            </w:tcBorders>
            <w:shd w:val="clear" w:color="auto" w:fill="F9F9F9"/>
            <w:vAlign w:val="center"/>
          </w:tcPr>
          <w:p w14:paraId="6545524F" w14:textId="77777777" w:rsidR="00412DBD" w:rsidRPr="00B145FF" w:rsidRDefault="00412DBD" w:rsidP="00412DBD">
            <w:pPr>
              <w:pStyle w:val="TableText"/>
              <w:jc w:val="center"/>
            </w:pPr>
          </w:p>
        </w:tc>
        <w:tc>
          <w:tcPr>
            <w:tcW w:w="2790" w:type="dxa"/>
            <w:tcBorders>
              <w:left w:val="single" w:sz="2" w:space="0" w:color="231F20"/>
              <w:right w:val="single" w:sz="2" w:space="0" w:color="231F20"/>
            </w:tcBorders>
            <w:shd w:val="clear" w:color="auto" w:fill="FFFFFF" w:themeFill="text2"/>
          </w:tcPr>
          <w:p w14:paraId="2F739B95" w14:textId="77777777" w:rsidR="00412DBD" w:rsidRPr="00B145FF" w:rsidRDefault="00412DBD" w:rsidP="00412DBD">
            <w:pPr>
              <w:pStyle w:val="TableText"/>
              <w:jc w:val="center"/>
            </w:pPr>
            <w:r w:rsidRPr="00B145FF">
              <w:t>Hermosillo</w:t>
            </w:r>
          </w:p>
        </w:tc>
      </w:tr>
      <w:tr w:rsidR="00412DBD" w14:paraId="215E99B8" w14:textId="77777777" w:rsidTr="00412DBD">
        <w:trPr>
          <w:trHeight w:val="43"/>
        </w:trPr>
        <w:tc>
          <w:tcPr>
            <w:tcW w:w="9000" w:type="dxa"/>
            <w:gridSpan w:val="3"/>
            <w:tcBorders>
              <w:left w:val="single" w:sz="2" w:space="0" w:color="231F20"/>
              <w:right w:val="single" w:sz="2" w:space="0" w:color="231F20"/>
            </w:tcBorders>
            <w:shd w:val="clear" w:color="auto" w:fill="333333" w:themeFill="background1"/>
            <w:vAlign w:val="center"/>
          </w:tcPr>
          <w:p w14:paraId="6F3A0F01" w14:textId="77777777" w:rsidR="00412DBD" w:rsidRPr="00BC39E0" w:rsidRDefault="00412DBD" w:rsidP="00412DBD">
            <w:pPr>
              <w:pStyle w:val="TableText"/>
              <w:jc w:val="center"/>
              <w:rPr>
                <w:sz w:val="2"/>
                <w:szCs w:val="2"/>
              </w:rPr>
            </w:pPr>
            <w:r w:rsidRPr="00BC39E0">
              <w:rPr>
                <w:sz w:val="2"/>
                <w:szCs w:val="2"/>
              </w:rPr>
              <w:t>x</w:t>
            </w:r>
          </w:p>
        </w:tc>
      </w:tr>
      <w:tr w:rsidR="00412DBD" w14:paraId="0D6F433F" w14:textId="77777777" w:rsidTr="00412DBD">
        <w:trPr>
          <w:trHeight w:val="315"/>
        </w:trPr>
        <w:tc>
          <w:tcPr>
            <w:tcW w:w="4500" w:type="dxa"/>
            <w:tcBorders>
              <w:left w:val="single" w:sz="2" w:space="0" w:color="231F20"/>
              <w:right w:val="single" w:sz="2" w:space="0" w:color="231F20"/>
            </w:tcBorders>
            <w:shd w:val="clear" w:color="auto" w:fill="F9F9F9"/>
          </w:tcPr>
          <w:p w14:paraId="453BECB4" w14:textId="77777777" w:rsidR="00412DBD" w:rsidRPr="00B145FF" w:rsidRDefault="00412DBD" w:rsidP="00412DBD">
            <w:pPr>
              <w:pStyle w:val="TableText"/>
            </w:pPr>
            <w:r w:rsidRPr="00B145FF">
              <w:t>Leica Geosystems S.A.R.L.</w:t>
            </w:r>
          </w:p>
        </w:tc>
        <w:tc>
          <w:tcPr>
            <w:tcW w:w="1710" w:type="dxa"/>
            <w:tcBorders>
              <w:left w:val="single" w:sz="2" w:space="0" w:color="231F20"/>
              <w:right w:val="single" w:sz="2" w:space="0" w:color="231F20"/>
            </w:tcBorders>
            <w:shd w:val="clear" w:color="auto" w:fill="F9F9F9"/>
            <w:vAlign w:val="center"/>
          </w:tcPr>
          <w:p w14:paraId="26F48C76" w14:textId="77777777" w:rsidR="00412DBD" w:rsidRPr="00B145FF" w:rsidRDefault="00412DBD" w:rsidP="00412DBD">
            <w:pPr>
              <w:pStyle w:val="TableText"/>
              <w:jc w:val="center"/>
            </w:pPr>
            <w:r w:rsidRPr="00B145FF">
              <w:t>Morocco</w:t>
            </w:r>
          </w:p>
        </w:tc>
        <w:tc>
          <w:tcPr>
            <w:tcW w:w="2790" w:type="dxa"/>
            <w:tcBorders>
              <w:left w:val="single" w:sz="2" w:space="0" w:color="231F20"/>
              <w:right w:val="single" w:sz="2" w:space="0" w:color="231F20"/>
            </w:tcBorders>
            <w:shd w:val="clear" w:color="auto" w:fill="F9F9F9"/>
            <w:vAlign w:val="center"/>
          </w:tcPr>
          <w:p w14:paraId="0EBD40E5" w14:textId="77777777" w:rsidR="00412DBD" w:rsidRPr="00B145FF" w:rsidRDefault="00412DBD" w:rsidP="00412DBD">
            <w:pPr>
              <w:pStyle w:val="TableText"/>
              <w:jc w:val="center"/>
            </w:pPr>
            <w:r w:rsidRPr="00B145FF">
              <w:t>Morocco</w:t>
            </w:r>
          </w:p>
        </w:tc>
      </w:tr>
      <w:tr w:rsidR="00412DBD" w14:paraId="6B3EDA36"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00738841" w14:textId="77777777" w:rsidR="00412DBD" w:rsidRPr="00B145FF" w:rsidRDefault="00412DBD" w:rsidP="00412DBD">
            <w:pPr>
              <w:pStyle w:val="TableText"/>
              <w:jc w:val="center"/>
              <w:rPr>
                <w:sz w:val="2"/>
                <w:szCs w:val="2"/>
              </w:rPr>
            </w:pPr>
          </w:p>
        </w:tc>
      </w:tr>
      <w:tr w:rsidR="00412DBD" w14:paraId="766A870F" w14:textId="77777777" w:rsidTr="00412DBD">
        <w:trPr>
          <w:trHeight w:val="171"/>
        </w:trPr>
        <w:tc>
          <w:tcPr>
            <w:tcW w:w="4500" w:type="dxa"/>
            <w:tcBorders>
              <w:left w:val="single" w:sz="2" w:space="0" w:color="231F20"/>
              <w:right w:val="single" w:sz="2" w:space="0" w:color="231F20"/>
            </w:tcBorders>
            <w:shd w:val="clear" w:color="auto" w:fill="E6E7E8"/>
          </w:tcPr>
          <w:p w14:paraId="65463716" w14:textId="77777777" w:rsidR="00412DBD" w:rsidRPr="00B145FF" w:rsidRDefault="00412DBD" w:rsidP="00412DBD">
            <w:pPr>
              <w:pStyle w:val="TableText"/>
            </w:pPr>
            <w:proofErr w:type="spellStart"/>
            <w:r w:rsidRPr="00B145FF">
              <w:t>Guardvant</w:t>
            </w:r>
            <w:proofErr w:type="spellEnd"/>
            <w:r w:rsidRPr="00B145FF">
              <w:t xml:space="preserve"> S.A.C.</w:t>
            </w:r>
          </w:p>
        </w:tc>
        <w:tc>
          <w:tcPr>
            <w:tcW w:w="1710" w:type="dxa"/>
            <w:vMerge w:val="restart"/>
            <w:tcBorders>
              <w:left w:val="single" w:sz="2" w:space="0" w:color="231F20"/>
              <w:right w:val="single" w:sz="2" w:space="0" w:color="231F20"/>
            </w:tcBorders>
            <w:shd w:val="clear" w:color="auto" w:fill="F9F9F9"/>
            <w:vAlign w:val="center"/>
          </w:tcPr>
          <w:p w14:paraId="51BC3AE8" w14:textId="77777777" w:rsidR="00412DBD" w:rsidRPr="00B145FF" w:rsidRDefault="00412DBD" w:rsidP="00412DBD">
            <w:pPr>
              <w:pStyle w:val="TableText"/>
              <w:jc w:val="center"/>
            </w:pPr>
            <w:r w:rsidRPr="00B145FF">
              <w:t>Peru</w:t>
            </w:r>
          </w:p>
        </w:tc>
        <w:tc>
          <w:tcPr>
            <w:tcW w:w="2790" w:type="dxa"/>
            <w:vMerge w:val="restart"/>
            <w:tcBorders>
              <w:left w:val="single" w:sz="2" w:space="0" w:color="231F20"/>
              <w:right w:val="single" w:sz="2" w:space="0" w:color="231F20"/>
            </w:tcBorders>
            <w:shd w:val="clear" w:color="auto" w:fill="F9F9F9"/>
            <w:vAlign w:val="center"/>
          </w:tcPr>
          <w:p w14:paraId="3D2CB00C" w14:textId="77777777" w:rsidR="00412DBD" w:rsidRPr="00B145FF" w:rsidRDefault="00412DBD" w:rsidP="00412DBD">
            <w:pPr>
              <w:pStyle w:val="TableText"/>
              <w:jc w:val="center"/>
            </w:pPr>
            <w:r w:rsidRPr="00B145FF">
              <w:t>Lima</w:t>
            </w:r>
          </w:p>
        </w:tc>
      </w:tr>
      <w:tr w:rsidR="00412DBD" w14:paraId="1CC062AC" w14:textId="77777777" w:rsidTr="00412DBD">
        <w:trPr>
          <w:trHeight w:val="171"/>
        </w:trPr>
        <w:tc>
          <w:tcPr>
            <w:tcW w:w="4500" w:type="dxa"/>
            <w:tcBorders>
              <w:left w:val="single" w:sz="2" w:space="0" w:color="231F20"/>
              <w:right w:val="single" w:sz="2" w:space="0" w:color="231F20"/>
            </w:tcBorders>
            <w:shd w:val="clear" w:color="auto" w:fill="FFFFFF" w:themeFill="text2"/>
          </w:tcPr>
          <w:p w14:paraId="6FCC4E52" w14:textId="77777777" w:rsidR="00412DBD" w:rsidRPr="00B145FF" w:rsidRDefault="00412DBD" w:rsidP="00412DBD">
            <w:pPr>
              <w:pStyle w:val="TableText"/>
            </w:pPr>
            <w:r w:rsidRPr="00B145FF">
              <w:t>Hexagon Mining Perú S.A.C.</w:t>
            </w:r>
          </w:p>
        </w:tc>
        <w:tc>
          <w:tcPr>
            <w:tcW w:w="1710" w:type="dxa"/>
            <w:vMerge/>
            <w:tcBorders>
              <w:left w:val="single" w:sz="2" w:space="0" w:color="231F20"/>
              <w:right w:val="single" w:sz="2" w:space="0" w:color="231F20"/>
            </w:tcBorders>
            <w:shd w:val="clear" w:color="auto" w:fill="F9F9F9"/>
            <w:vAlign w:val="center"/>
          </w:tcPr>
          <w:p w14:paraId="0BE59402" w14:textId="77777777" w:rsidR="00412DBD" w:rsidRPr="00B145FF" w:rsidRDefault="00412DBD" w:rsidP="00412DBD">
            <w:pPr>
              <w:pStyle w:val="TableText"/>
              <w:jc w:val="center"/>
            </w:pPr>
          </w:p>
        </w:tc>
        <w:tc>
          <w:tcPr>
            <w:tcW w:w="2790" w:type="dxa"/>
            <w:vMerge/>
            <w:tcBorders>
              <w:left w:val="single" w:sz="2" w:space="0" w:color="231F20"/>
              <w:right w:val="single" w:sz="2" w:space="0" w:color="231F20"/>
            </w:tcBorders>
            <w:shd w:val="clear" w:color="auto" w:fill="F9F9F9"/>
            <w:vAlign w:val="center"/>
          </w:tcPr>
          <w:p w14:paraId="016BB9B7" w14:textId="77777777" w:rsidR="00412DBD" w:rsidRPr="00B145FF" w:rsidRDefault="00412DBD" w:rsidP="00412DBD">
            <w:pPr>
              <w:pStyle w:val="TableText"/>
              <w:jc w:val="center"/>
            </w:pPr>
          </w:p>
        </w:tc>
      </w:tr>
      <w:tr w:rsidR="00412DBD" w14:paraId="68DAB07F" w14:textId="77777777" w:rsidTr="00412DBD">
        <w:trPr>
          <w:trHeight w:val="162"/>
        </w:trPr>
        <w:tc>
          <w:tcPr>
            <w:tcW w:w="4500" w:type="dxa"/>
            <w:tcBorders>
              <w:left w:val="single" w:sz="2" w:space="0" w:color="231F20"/>
              <w:right w:val="single" w:sz="2" w:space="0" w:color="231F20"/>
            </w:tcBorders>
            <w:shd w:val="clear" w:color="auto" w:fill="E6E7E8"/>
          </w:tcPr>
          <w:p w14:paraId="1B961503" w14:textId="77777777" w:rsidR="00412DBD" w:rsidRPr="00B145FF" w:rsidRDefault="00412DBD" w:rsidP="00412DBD">
            <w:pPr>
              <w:pStyle w:val="TableText"/>
            </w:pPr>
            <w:r w:rsidRPr="00B145FF">
              <w:t>Leica Geosystems S.A.C.</w:t>
            </w:r>
          </w:p>
        </w:tc>
        <w:tc>
          <w:tcPr>
            <w:tcW w:w="1710" w:type="dxa"/>
            <w:vMerge/>
            <w:tcBorders>
              <w:left w:val="single" w:sz="2" w:space="0" w:color="231F20"/>
              <w:right w:val="single" w:sz="2" w:space="0" w:color="231F20"/>
            </w:tcBorders>
            <w:shd w:val="clear" w:color="auto" w:fill="F9F9F9"/>
            <w:vAlign w:val="center"/>
          </w:tcPr>
          <w:p w14:paraId="67B0DFBA" w14:textId="77777777" w:rsidR="00412DBD" w:rsidRPr="00B145FF" w:rsidRDefault="00412DBD" w:rsidP="00412DBD">
            <w:pPr>
              <w:pStyle w:val="TableText"/>
              <w:jc w:val="center"/>
            </w:pPr>
          </w:p>
        </w:tc>
        <w:tc>
          <w:tcPr>
            <w:tcW w:w="2790" w:type="dxa"/>
            <w:vMerge/>
            <w:tcBorders>
              <w:left w:val="single" w:sz="2" w:space="0" w:color="231F20"/>
              <w:right w:val="single" w:sz="2" w:space="0" w:color="231F20"/>
            </w:tcBorders>
            <w:shd w:val="clear" w:color="auto" w:fill="F9F9F9"/>
            <w:vAlign w:val="center"/>
          </w:tcPr>
          <w:p w14:paraId="0783DDA5" w14:textId="77777777" w:rsidR="00412DBD" w:rsidRPr="00B145FF" w:rsidRDefault="00412DBD" w:rsidP="00412DBD">
            <w:pPr>
              <w:pStyle w:val="TableText"/>
              <w:jc w:val="center"/>
            </w:pPr>
          </w:p>
        </w:tc>
      </w:tr>
      <w:tr w:rsidR="00412DBD" w14:paraId="3985D2E7" w14:textId="77777777" w:rsidTr="00412DBD">
        <w:trPr>
          <w:trHeight w:val="306"/>
        </w:trPr>
        <w:tc>
          <w:tcPr>
            <w:tcW w:w="4500" w:type="dxa"/>
            <w:tcBorders>
              <w:left w:val="single" w:sz="2" w:space="0" w:color="231F20"/>
              <w:right w:val="single" w:sz="2" w:space="0" w:color="231F20"/>
            </w:tcBorders>
            <w:shd w:val="clear" w:color="auto" w:fill="FFFFFF" w:themeFill="text2"/>
          </w:tcPr>
          <w:p w14:paraId="28B1E2C3" w14:textId="77777777" w:rsidR="00412DBD" w:rsidRPr="00B145FF" w:rsidRDefault="00412DBD" w:rsidP="00412DBD">
            <w:pPr>
              <w:pStyle w:val="TableText"/>
            </w:pPr>
            <w:r w:rsidRPr="00B145FF">
              <w:t>Split Engineering Peru S.R.L.</w:t>
            </w:r>
          </w:p>
        </w:tc>
        <w:tc>
          <w:tcPr>
            <w:tcW w:w="1710" w:type="dxa"/>
            <w:vMerge/>
            <w:tcBorders>
              <w:left w:val="single" w:sz="2" w:space="0" w:color="231F20"/>
              <w:right w:val="single" w:sz="2" w:space="0" w:color="231F20"/>
            </w:tcBorders>
            <w:shd w:val="clear" w:color="auto" w:fill="F9F9F9"/>
            <w:vAlign w:val="center"/>
          </w:tcPr>
          <w:p w14:paraId="4B551886" w14:textId="77777777" w:rsidR="00412DBD" w:rsidRPr="00B145FF" w:rsidRDefault="00412DBD" w:rsidP="00412DBD">
            <w:pPr>
              <w:pStyle w:val="TableText"/>
              <w:jc w:val="center"/>
            </w:pPr>
          </w:p>
        </w:tc>
        <w:tc>
          <w:tcPr>
            <w:tcW w:w="2790" w:type="dxa"/>
            <w:vMerge/>
            <w:tcBorders>
              <w:left w:val="single" w:sz="2" w:space="0" w:color="231F20"/>
              <w:right w:val="single" w:sz="2" w:space="0" w:color="231F20"/>
            </w:tcBorders>
            <w:shd w:val="clear" w:color="auto" w:fill="F9F9F9"/>
            <w:vAlign w:val="center"/>
          </w:tcPr>
          <w:p w14:paraId="1A9AA3AD" w14:textId="77777777" w:rsidR="00412DBD" w:rsidRPr="00B145FF" w:rsidRDefault="00412DBD" w:rsidP="00412DBD">
            <w:pPr>
              <w:pStyle w:val="TableText"/>
              <w:jc w:val="center"/>
            </w:pPr>
          </w:p>
        </w:tc>
      </w:tr>
      <w:tr w:rsidR="00412DBD" w14:paraId="2B957C7F"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5DF8C474" w14:textId="77777777" w:rsidR="00412DBD" w:rsidRPr="00B145FF" w:rsidRDefault="00412DBD" w:rsidP="00412DBD">
            <w:pPr>
              <w:pStyle w:val="TableText"/>
              <w:jc w:val="center"/>
              <w:rPr>
                <w:sz w:val="2"/>
                <w:szCs w:val="2"/>
              </w:rPr>
            </w:pPr>
          </w:p>
        </w:tc>
      </w:tr>
      <w:tr w:rsidR="00412DBD" w14:paraId="2D2F363D" w14:textId="77777777" w:rsidTr="00412DBD">
        <w:trPr>
          <w:trHeight w:val="153"/>
        </w:trPr>
        <w:tc>
          <w:tcPr>
            <w:tcW w:w="4500" w:type="dxa"/>
            <w:tcBorders>
              <w:left w:val="single" w:sz="2" w:space="0" w:color="231F20"/>
              <w:right w:val="single" w:sz="2" w:space="0" w:color="231F20"/>
            </w:tcBorders>
            <w:shd w:val="clear" w:color="auto" w:fill="E6E7E8"/>
          </w:tcPr>
          <w:p w14:paraId="20D5CC43" w14:textId="77777777" w:rsidR="00412DBD" w:rsidRPr="00B145FF" w:rsidRDefault="00412DBD" w:rsidP="00412DBD">
            <w:pPr>
              <w:pStyle w:val="TableText"/>
            </w:pPr>
            <w:proofErr w:type="spellStart"/>
            <w:r w:rsidRPr="00B145FF">
              <w:t>Guardvant</w:t>
            </w:r>
            <w:proofErr w:type="spellEnd"/>
            <w:r w:rsidRPr="00B145FF">
              <w:t xml:space="preserve"> Sub-Saharan Africa (Pty) Ltd</w:t>
            </w:r>
          </w:p>
        </w:tc>
        <w:tc>
          <w:tcPr>
            <w:tcW w:w="1710" w:type="dxa"/>
            <w:vMerge w:val="restart"/>
            <w:tcBorders>
              <w:left w:val="single" w:sz="2" w:space="0" w:color="231F20"/>
              <w:right w:val="single" w:sz="2" w:space="0" w:color="231F20"/>
            </w:tcBorders>
            <w:shd w:val="clear" w:color="auto" w:fill="F9F9F9"/>
            <w:vAlign w:val="center"/>
          </w:tcPr>
          <w:p w14:paraId="4509DBB0" w14:textId="77777777" w:rsidR="00412DBD" w:rsidRPr="00B145FF" w:rsidRDefault="00412DBD" w:rsidP="00412DBD">
            <w:pPr>
              <w:pStyle w:val="TableText"/>
              <w:jc w:val="center"/>
            </w:pPr>
            <w:r w:rsidRPr="00B145FF">
              <w:t>South Africa</w:t>
            </w:r>
          </w:p>
        </w:tc>
        <w:tc>
          <w:tcPr>
            <w:tcW w:w="2790" w:type="dxa"/>
            <w:vMerge w:val="restart"/>
            <w:tcBorders>
              <w:left w:val="single" w:sz="2" w:space="0" w:color="231F20"/>
              <w:bottom w:val="single" w:sz="2" w:space="0" w:color="231F20"/>
              <w:right w:val="single" w:sz="2" w:space="0" w:color="231F20"/>
            </w:tcBorders>
            <w:shd w:val="clear" w:color="auto" w:fill="F9F9F9"/>
            <w:vAlign w:val="center"/>
          </w:tcPr>
          <w:p w14:paraId="263DD55E" w14:textId="77777777" w:rsidR="00412DBD" w:rsidRPr="00B145FF" w:rsidRDefault="00412DBD" w:rsidP="00412DBD">
            <w:pPr>
              <w:pStyle w:val="TableText"/>
              <w:jc w:val="center"/>
            </w:pPr>
            <w:proofErr w:type="spellStart"/>
            <w:r w:rsidRPr="00B145FF">
              <w:t>Darrenwood</w:t>
            </w:r>
            <w:proofErr w:type="spellEnd"/>
          </w:p>
        </w:tc>
      </w:tr>
      <w:tr w:rsidR="00412DBD" w14:paraId="255EE185" w14:textId="77777777" w:rsidTr="00412DBD">
        <w:trPr>
          <w:trHeight w:val="153"/>
        </w:trPr>
        <w:tc>
          <w:tcPr>
            <w:tcW w:w="4500" w:type="dxa"/>
            <w:tcBorders>
              <w:left w:val="single" w:sz="2" w:space="0" w:color="231F20"/>
              <w:right w:val="single" w:sz="2" w:space="0" w:color="231F20"/>
            </w:tcBorders>
            <w:shd w:val="clear" w:color="auto" w:fill="FFFFFF" w:themeFill="text2"/>
          </w:tcPr>
          <w:p w14:paraId="074099C1" w14:textId="77777777" w:rsidR="00412DBD" w:rsidRPr="00B145FF" w:rsidRDefault="00412DBD" w:rsidP="00412DBD">
            <w:pPr>
              <w:pStyle w:val="TableText"/>
            </w:pPr>
            <w:r w:rsidRPr="00B145FF">
              <w:t>Leica Geosystems (Pty) Ltd.</w:t>
            </w:r>
          </w:p>
        </w:tc>
        <w:tc>
          <w:tcPr>
            <w:tcW w:w="1710" w:type="dxa"/>
            <w:vMerge/>
            <w:tcBorders>
              <w:left w:val="single" w:sz="2" w:space="0" w:color="231F20"/>
              <w:right w:val="single" w:sz="2" w:space="0" w:color="231F20"/>
            </w:tcBorders>
            <w:shd w:val="clear" w:color="auto" w:fill="F9F9F9"/>
            <w:vAlign w:val="center"/>
          </w:tcPr>
          <w:p w14:paraId="5457418D" w14:textId="77777777" w:rsidR="00412DBD" w:rsidRPr="00B145FF" w:rsidRDefault="00412DBD" w:rsidP="00412DBD">
            <w:pPr>
              <w:pStyle w:val="TableText"/>
              <w:jc w:val="center"/>
            </w:pPr>
          </w:p>
        </w:tc>
        <w:tc>
          <w:tcPr>
            <w:tcW w:w="2790" w:type="dxa"/>
            <w:vMerge/>
            <w:tcBorders>
              <w:left w:val="single" w:sz="2" w:space="0" w:color="231F20"/>
              <w:bottom w:val="single" w:sz="2" w:space="0" w:color="231F20"/>
              <w:right w:val="single" w:sz="2" w:space="0" w:color="231F20"/>
            </w:tcBorders>
            <w:shd w:val="clear" w:color="auto" w:fill="F9F9F9"/>
            <w:vAlign w:val="center"/>
          </w:tcPr>
          <w:p w14:paraId="327AA028" w14:textId="77777777" w:rsidR="00412DBD" w:rsidRPr="00B145FF" w:rsidRDefault="00412DBD" w:rsidP="00412DBD">
            <w:pPr>
              <w:pStyle w:val="TableText"/>
              <w:jc w:val="center"/>
            </w:pPr>
          </w:p>
        </w:tc>
      </w:tr>
      <w:tr w:rsidR="00412DBD" w14:paraId="168AB5B7" w14:textId="77777777" w:rsidTr="00412DBD">
        <w:trPr>
          <w:trHeight w:val="139"/>
        </w:trPr>
        <w:tc>
          <w:tcPr>
            <w:tcW w:w="4500" w:type="dxa"/>
            <w:tcBorders>
              <w:left w:val="single" w:sz="2" w:space="0" w:color="231F20"/>
              <w:right w:val="single" w:sz="2" w:space="0" w:color="231F20"/>
            </w:tcBorders>
            <w:shd w:val="clear" w:color="auto" w:fill="E6E7E8"/>
          </w:tcPr>
          <w:p w14:paraId="43FE6DA1" w14:textId="77777777" w:rsidR="00412DBD" w:rsidRPr="00B145FF" w:rsidRDefault="00412DBD" w:rsidP="00412DBD">
            <w:pPr>
              <w:pStyle w:val="TableText"/>
            </w:pPr>
            <w:proofErr w:type="spellStart"/>
            <w:r w:rsidRPr="00B145FF">
              <w:t>Minesight</w:t>
            </w:r>
            <w:proofErr w:type="spellEnd"/>
            <w:r w:rsidRPr="00B145FF">
              <w:t xml:space="preserve"> Applications Pty</w:t>
            </w:r>
          </w:p>
        </w:tc>
        <w:tc>
          <w:tcPr>
            <w:tcW w:w="1710" w:type="dxa"/>
            <w:vMerge/>
            <w:tcBorders>
              <w:left w:val="single" w:sz="2" w:space="0" w:color="231F20"/>
              <w:right w:val="single" w:sz="2" w:space="0" w:color="231F20"/>
            </w:tcBorders>
            <w:shd w:val="clear" w:color="auto" w:fill="F9F9F9"/>
            <w:vAlign w:val="center"/>
          </w:tcPr>
          <w:p w14:paraId="12C089D1" w14:textId="77777777" w:rsidR="00412DBD" w:rsidRPr="00B145FF" w:rsidRDefault="00412DBD" w:rsidP="00412DBD">
            <w:pPr>
              <w:pStyle w:val="TableText"/>
              <w:jc w:val="center"/>
            </w:pPr>
          </w:p>
        </w:tc>
        <w:tc>
          <w:tcPr>
            <w:tcW w:w="2790" w:type="dxa"/>
            <w:vMerge w:val="restart"/>
            <w:tcBorders>
              <w:top w:val="single" w:sz="2" w:space="0" w:color="231F20"/>
              <w:left w:val="single" w:sz="2" w:space="0" w:color="231F20"/>
              <w:right w:val="single" w:sz="2" w:space="0" w:color="231F20"/>
            </w:tcBorders>
            <w:shd w:val="clear" w:color="auto" w:fill="F9F9F9"/>
            <w:vAlign w:val="center"/>
          </w:tcPr>
          <w:p w14:paraId="7F73BF9C" w14:textId="77777777" w:rsidR="00412DBD" w:rsidRPr="00B145FF" w:rsidRDefault="00412DBD" w:rsidP="00412DBD">
            <w:pPr>
              <w:pStyle w:val="TableText"/>
              <w:jc w:val="center"/>
            </w:pPr>
            <w:r w:rsidRPr="00B145FF">
              <w:t>Johannesburg</w:t>
            </w:r>
          </w:p>
        </w:tc>
      </w:tr>
      <w:tr w:rsidR="00412DBD" w14:paraId="6A46F83C" w14:textId="77777777" w:rsidTr="00412DBD">
        <w:trPr>
          <w:trHeight w:val="306"/>
        </w:trPr>
        <w:tc>
          <w:tcPr>
            <w:tcW w:w="4500" w:type="dxa"/>
            <w:tcBorders>
              <w:left w:val="single" w:sz="2" w:space="0" w:color="231F20"/>
              <w:right w:val="single" w:sz="2" w:space="0" w:color="231F20"/>
            </w:tcBorders>
            <w:shd w:val="clear" w:color="auto" w:fill="FFFFFF" w:themeFill="text2"/>
          </w:tcPr>
          <w:p w14:paraId="6269F2A3" w14:textId="77777777" w:rsidR="00412DBD" w:rsidRPr="00B145FF" w:rsidRDefault="00412DBD" w:rsidP="00412DBD">
            <w:pPr>
              <w:pStyle w:val="TableText"/>
            </w:pPr>
            <w:r w:rsidRPr="00B145FF">
              <w:t>Split Engineering Africa (Pty) Ltd</w:t>
            </w:r>
          </w:p>
        </w:tc>
        <w:tc>
          <w:tcPr>
            <w:tcW w:w="1710" w:type="dxa"/>
            <w:vMerge/>
            <w:tcBorders>
              <w:left w:val="single" w:sz="2" w:space="0" w:color="231F20"/>
              <w:right w:val="single" w:sz="2" w:space="0" w:color="231F20"/>
            </w:tcBorders>
            <w:shd w:val="clear" w:color="auto" w:fill="F9F9F9"/>
            <w:vAlign w:val="center"/>
          </w:tcPr>
          <w:p w14:paraId="158E4A28" w14:textId="77777777" w:rsidR="00412DBD" w:rsidRPr="00B145FF" w:rsidRDefault="00412DBD" w:rsidP="00412DBD">
            <w:pPr>
              <w:pStyle w:val="TableText"/>
              <w:jc w:val="center"/>
            </w:pPr>
          </w:p>
        </w:tc>
        <w:tc>
          <w:tcPr>
            <w:tcW w:w="2790" w:type="dxa"/>
            <w:vMerge/>
            <w:tcBorders>
              <w:left w:val="single" w:sz="2" w:space="0" w:color="231F20"/>
              <w:right w:val="single" w:sz="2" w:space="0" w:color="231F20"/>
            </w:tcBorders>
            <w:shd w:val="clear" w:color="auto" w:fill="F9F9F9"/>
            <w:vAlign w:val="center"/>
          </w:tcPr>
          <w:p w14:paraId="0EBFAC70" w14:textId="77777777" w:rsidR="00412DBD" w:rsidRPr="00B145FF" w:rsidRDefault="00412DBD" w:rsidP="00412DBD">
            <w:pPr>
              <w:pStyle w:val="TableText"/>
              <w:jc w:val="center"/>
            </w:pPr>
          </w:p>
        </w:tc>
      </w:tr>
      <w:tr w:rsidR="00412DBD" w14:paraId="1460D1BE" w14:textId="77777777" w:rsidTr="00412DBD">
        <w:trPr>
          <w:trHeight w:val="47"/>
        </w:trPr>
        <w:tc>
          <w:tcPr>
            <w:tcW w:w="9000" w:type="dxa"/>
            <w:gridSpan w:val="3"/>
            <w:tcBorders>
              <w:left w:val="single" w:sz="2" w:space="0" w:color="231F20"/>
              <w:right w:val="single" w:sz="2" w:space="0" w:color="231F20"/>
            </w:tcBorders>
            <w:shd w:val="clear" w:color="auto" w:fill="333333" w:themeFill="background1"/>
            <w:vAlign w:val="center"/>
          </w:tcPr>
          <w:p w14:paraId="3FAE14CD" w14:textId="77777777" w:rsidR="00412DBD" w:rsidRPr="00B145FF" w:rsidRDefault="00412DBD" w:rsidP="00412DBD">
            <w:pPr>
              <w:pStyle w:val="TableText"/>
              <w:jc w:val="center"/>
              <w:rPr>
                <w:sz w:val="2"/>
                <w:szCs w:val="2"/>
              </w:rPr>
            </w:pPr>
          </w:p>
        </w:tc>
      </w:tr>
      <w:tr w:rsidR="00412DBD" w14:paraId="174A2482" w14:textId="77777777" w:rsidTr="00412DBD">
        <w:trPr>
          <w:trHeight w:val="243"/>
        </w:trPr>
        <w:tc>
          <w:tcPr>
            <w:tcW w:w="4500" w:type="dxa"/>
            <w:tcBorders>
              <w:left w:val="single" w:sz="2" w:space="0" w:color="231F20"/>
              <w:right w:val="single" w:sz="2" w:space="0" w:color="231F20"/>
            </w:tcBorders>
            <w:shd w:val="clear" w:color="auto" w:fill="E6E7E8"/>
          </w:tcPr>
          <w:p w14:paraId="615B349F" w14:textId="77777777" w:rsidR="00412DBD" w:rsidRPr="00B145FF" w:rsidRDefault="00412DBD" w:rsidP="00412DBD">
            <w:pPr>
              <w:pStyle w:val="TableText"/>
            </w:pPr>
            <w:proofErr w:type="spellStart"/>
            <w:r w:rsidRPr="00B145FF">
              <w:t>Safemine</w:t>
            </w:r>
            <w:proofErr w:type="spellEnd"/>
            <w:r w:rsidRPr="00B145FF">
              <w:t xml:space="preserve"> AG</w:t>
            </w:r>
          </w:p>
        </w:tc>
        <w:tc>
          <w:tcPr>
            <w:tcW w:w="1710" w:type="dxa"/>
            <w:vMerge w:val="restart"/>
            <w:tcBorders>
              <w:left w:val="single" w:sz="2" w:space="0" w:color="231F20"/>
              <w:right w:val="single" w:sz="2" w:space="0" w:color="231F20"/>
            </w:tcBorders>
            <w:shd w:val="clear" w:color="auto" w:fill="F9F9F9"/>
            <w:vAlign w:val="center"/>
          </w:tcPr>
          <w:p w14:paraId="02FEA65C" w14:textId="77777777" w:rsidR="00412DBD" w:rsidRPr="00B145FF" w:rsidRDefault="00412DBD" w:rsidP="00412DBD">
            <w:pPr>
              <w:pStyle w:val="TableText"/>
              <w:jc w:val="center"/>
            </w:pPr>
            <w:r w:rsidRPr="00B145FF">
              <w:t>Switzerland</w:t>
            </w:r>
          </w:p>
        </w:tc>
        <w:tc>
          <w:tcPr>
            <w:tcW w:w="2790" w:type="dxa"/>
            <w:vMerge w:val="restart"/>
            <w:tcBorders>
              <w:left w:val="single" w:sz="2" w:space="0" w:color="231F20"/>
              <w:right w:val="single" w:sz="2" w:space="0" w:color="231F20"/>
            </w:tcBorders>
            <w:shd w:val="clear" w:color="auto" w:fill="F9F9F9"/>
            <w:vAlign w:val="center"/>
          </w:tcPr>
          <w:p w14:paraId="7E40CECA" w14:textId="77777777" w:rsidR="00412DBD" w:rsidRPr="00B145FF" w:rsidRDefault="00412DBD" w:rsidP="00412DBD">
            <w:pPr>
              <w:pStyle w:val="TableText"/>
              <w:jc w:val="center"/>
            </w:pPr>
            <w:r w:rsidRPr="00B145FF">
              <w:t>Zug</w:t>
            </w:r>
          </w:p>
        </w:tc>
      </w:tr>
      <w:tr w:rsidR="00412DBD" w14:paraId="4F42C985" w14:textId="77777777" w:rsidTr="00412DBD">
        <w:trPr>
          <w:trHeight w:val="342"/>
        </w:trPr>
        <w:tc>
          <w:tcPr>
            <w:tcW w:w="4500" w:type="dxa"/>
            <w:tcBorders>
              <w:left w:val="single" w:sz="2" w:space="0" w:color="231F20"/>
              <w:right w:val="single" w:sz="2" w:space="0" w:color="231F20"/>
            </w:tcBorders>
            <w:shd w:val="clear" w:color="auto" w:fill="FFFFFF" w:themeFill="text2"/>
          </w:tcPr>
          <w:p w14:paraId="126742DB" w14:textId="77777777" w:rsidR="00412DBD" w:rsidRPr="00B145FF" w:rsidRDefault="00412DBD" w:rsidP="00412DBD">
            <w:pPr>
              <w:pStyle w:val="TableText"/>
            </w:pPr>
            <w:r w:rsidRPr="00B145FF">
              <w:t>Leica Geosystems AG</w:t>
            </w:r>
          </w:p>
        </w:tc>
        <w:tc>
          <w:tcPr>
            <w:tcW w:w="1710" w:type="dxa"/>
            <w:vMerge/>
            <w:tcBorders>
              <w:left w:val="single" w:sz="2" w:space="0" w:color="231F20"/>
              <w:right w:val="single" w:sz="2" w:space="0" w:color="231F20"/>
            </w:tcBorders>
            <w:shd w:val="clear" w:color="auto" w:fill="F9F9F9"/>
            <w:vAlign w:val="center"/>
          </w:tcPr>
          <w:p w14:paraId="1E7C84CE" w14:textId="77777777" w:rsidR="00412DBD" w:rsidRPr="00B145FF" w:rsidRDefault="00412DBD" w:rsidP="00412DBD">
            <w:pPr>
              <w:pStyle w:val="TableText"/>
              <w:jc w:val="center"/>
            </w:pPr>
          </w:p>
        </w:tc>
        <w:tc>
          <w:tcPr>
            <w:tcW w:w="2790" w:type="dxa"/>
            <w:vMerge/>
            <w:tcBorders>
              <w:left w:val="single" w:sz="2" w:space="0" w:color="231F20"/>
              <w:right w:val="single" w:sz="2" w:space="0" w:color="231F20"/>
            </w:tcBorders>
            <w:shd w:val="clear" w:color="auto" w:fill="F9F9F9"/>
            <w:vAlign w:val="center"/>
          </w:tcPr>
          <w:p w14:paraId="29FFA3FC" w14:textId="77777777" w:rsidR="00412DBD" w:rsidRPr="00B145FF" w:rsidRDefault="00412DBD" w:rsidP="00412DBD">
            <w:pPr>
              <w:pStyle w:val="TableText"/>
              <w:jc w:val="center"/>
            </w:pPr>
          </w:p>
        </w:tc>
      </w:tr>
      <w:tr w:rsidR="00412DBD" w14:paraId="57156B75"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5039DE63" w14:textId="77777777" w:rsidR="00412DBD" w:rsidRPr="00B145FF" w:rsidRDefault="00412DBD" w:rsidP="00412DBD">
            <w:pPr>
              <w:pStyle w:val="TableText"/>
              <w:jc w:val="center"/>
              <w:rPr>
                <w:sz w:val="2"/>
                <w:szCs w:val="2"/>
              </w:rPr>
            </w:pPr>
          </w:p>
        </w:tc>
      </w:tr>
      <w:tr w:rsidR="00412DBD" w14:paraId="3A9E1F56" w14:textId="77777777" w:rsidTr="00412DBD">
        <w:trPr>
          <w:trHeight w:val="324"/>
        </w:trPr>
        <w:tc>
          <w:tcPr>
            <w:tcW w:w="4500" w:type="dxa"/>
            <w:tcBorders>
              <w:left w:val="single" w:sz="2" w:space="0" w:color="231F20"/>
              <w:right w:val="single" w:sz="2" w:space="0" w:color="231F20"/>
            </w:tcBorders>
            <w:shd w:val="clear" w:color="auto" w:fill="F9F9F9"/>
          </w:tcPr>
          <w:p w14:paraId="6BC84C21" w14:textId="77777777" w:rsidR="00412DBD" w:rsidRPr="00B145FF" w:rsidRDefault="00412DBD" w:rsidP="00412DBD">
            <w:pPr>
              <w:pStyle w:val="TableText"/>
            </w:pPr>
            <w:r w:rsidRPr="00B145FF">
              <w:t>Leica Geosystems DMCC</w:t>
            </w:r>
          </w:p>
        </w:tc>
        <w:tc>
          <w:tcPr>
            <w:tcW w:w="1710" w:type="dxa"/>
            <w:tcBorders>
              <w:left w:val="single" w:sz="2" w:space="0" w:color="231F20"/>
              <w:right w:val="single" w:sz="2" w:space="0" w:color="231F20"/>
            </w:tcBorders>
            <w:shd w:val="clear" w:color="auto" w:fill="F9F9F9"/>
            <w:vAlign w:val="center"/>
          </w:tcPr>
          <w:p w14:paraId="7E1D8C04" w14:textId="77777777" w:rsidR="00412DBD" w:rsidRPr="00B145FF" w:rsidRDefault="00412DBD" w:rsidP="00412DBD">
            <w:pPr>
              <w:pStyle w:val="TableText"/>
              <w:jc w:val="center"/>
            </w:pPr>
            <w:r w:rsidRPr="00B145FF">
              <w:t>United Arab Emirates</w:t>
            </w:r>
          </w:p>
        </w:tc>
        <w:tc>
          <w:tcPr>
            <w:tcW w:w="2790" w:type="dxa"/>
            <w:tcBorders>
              <w:left w:val="single" w:sz="2" w:space="0" w:color="231F20"/>
              <w:right w:val="single" w:sz="2" w:space="0" w:color="231F20"/>
            </w:tcBorders>
            <w:shd w:val="clear" w:color="auto" w:fill="F9F9F9"/>
            <w:vAlign w:val="center"/>
          </w:tcPr>
          <w:p w14:paraId="4E91635F" w14:textId="77777777" w:rsidR="00412DBD" w:rsidRPr="00B145FF" w:rsidRDefault="00412DBD" w:rsidP="00412DBD">
            <w:pPr>
              <w:pStyle w:val="TableText"/>
              <w:jc w:val="center"/>
            </w:pPr>
            <w:r w:rsidRPr="00B145FF">
              <w:t>Dubai</w:t>
            </w:r>
          </w:p>
        </w:tc>
      </w:tr>
      <w:tr w:rsidR="00412DBD" w14:paraId="25F1C04D"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5F24E854" w14:textId="77777777" w:rsidR="00412DBD" w:rsidRPr="00B145FF" w:rsidRDefault="00412DBD" w:rsidP="00412DBD">
            <w:pPr>
              <w:pStyle w:val="TableText"/>
              <w:jc w:val="center"/>
              <w:rPr>
                <w:sz w:val="2"/>
                <w:szCs w:val="2"/>
              </w:rPr>
            </w:pPr>
          </w:p>
        </w:tc>
      </w:tr>
      <w:tr w:rsidR="00412DBD" w14:paraId="5B519B1A" w14:textId="77777777" w:rsidTr="00412DBD">
        <w:trPr>
          <w:trHeight w:val="414"/>
        </w:trPr>
        <w:tc>
          <w:tcPr>
            <w:tcW w:w="4500" w:type="dxa"/>
            <w:tcBorders>
              <w:left w:val="single" w:sz="2" w:space="0" w:color="231F20"/>
              <w:right w:val="single" w:sz="2" w:space="0" w:color="231F20"/>
            </w:tcBorders>
            <w:shd w:val="clear" w:color="auto" w:fill="F9F9F9"/>
          </w:tcPr>
          <w:p w14:paraId="466AFF06" w14:textId="77777777" w:rsidR="00412DBD" w:rsidRPr="00B145FF" w:rsidRDefault="00412DBD" w:rsidP="00412DBD">
            <w:pPr>
              <w:pStyle w:val="TableText"/>
            </w:pPr>
            <w:proofErr w:type="spellStart"/>
            <w:r w:rsidRPr="00B145FF">
              <w:t>Minesight</w:t>
            </w:r>
            <w:proofErr w:type="spellEnd"/>
            <w:r w:rsidRPr="00B145FF">
              <w:t xml:space="preserve"> Applications London Limited</w:t>
            </w:r>
          </w:p>
        </w:tc>
        <w:tc>
          <w:tcPr>
            <w:tcW w:w="1710" w:type="dxa"/>
            <w:tcBorders>
              <w:left w:val="single" w:sz="2" w:space="0" w:color="231F20"/>
              <w:right w:val="single" w:sz="2" w:space="0" w:color="231F20"/>
            </w:tcBorders>
            <w:shd w:val="clear" w:color="auto" w:fill="F9F9F9"/>
            <w:vAlign w:val="center"/>
          </w:tcPr>
          <w:p w14:paraId="11C653BD" w14:textId="77777777" w:rsidR="00412DBD" w:rsidRPr="00B145FF" w:rsidRDefault="00412DBD" w:rsidP="00412DBD">
            <w:pPr>
              <w:pStyle w:val="TableText"/>
              <w:jc w:val="center"/>
            </w:pPr>
            <w:r w:rsidRPr="00B145FF">
              <w:t>United Kingdom</w:t>
            </w:r>
          </w:p>
        </w:tc>
        <w:tc>
          <w:tcPr>
            <w:tcW w:w="2790" w:type="dxa"/>
            <w:tcBorders>
              <w:left w:val="single" w:sz="2" w:space="0" w:color="231F20"/>
              <w:right w:val="single" w:sz="2" w:space="0" w:color="231F20"/>
            </w:tcBorders>
            <w:shd w:val="clear" w:color="auto" w:fill="F9F9F9"/>
            <w:vAlign w:val="center"/>
          </w:tcPr>
          <w:p w14:paraId="008722E0" w14:textId="77777777" w:rsidR="00412DBD" w:rsidRPr="00B145FF" w:rsidRDefault="00412DBD" w:rsidP="00412DBD">
            <w:pPr>
              <w:pStyle w:val="TableText"/>
              <w:jc w:val="center"/>
            </w:pPr>
            <w:r w:rsidRPr="00B145FF">
              <w:t>England and Wales</w:t>
            </w:r>
          </w:p>
        </w:tc>
      </w:tr>
      <w:tr w:rsidR="00412DBD" w14:paraId="081694F9" w14:textId="77777777" w:rsidTr="00412DBD">
        <w:trPr>
          <w:trHeight w:val="38"/>
        </w:trPr>
        <w:tc>
          <w:tcPr>
            <w:tcW w:w="9000" w:type="dxa"/>
            <w:gridSpan w:val="3"/>
            <w:tcBorders>
              <w:left w:val="single" w:sz="2" w:space="0" w:color="231F20"/>
              <w:right w:val="single" w:sz="2" w:space="0" w:color="231F20"/>
            </w:tcBorders>
            <w:shd w:val="clear" w:color="auto" w:fill="333333" w:themeFill="background1"/>
            <w:vAlign w:val="center"/>
          </w:tcPr>
          <w:p w14:paraId="64B82955" w14:textId="77777777" w:rsidR="00412DBD" w:rsidRPr="00B145FF" w:rsidRDefault="00412DBD" w:rsidP="00412DBD">
            <w:pPr>
              <w:pStyle w:val="TableText"/>
              <w:jc w:val="center"/>
              <w:rPr>
                <w:color w:val="231F20"/>
                <w:sz w:val="2"/>
                <w:szCs w:val="2"/>
              </w:rPr>
            </w:pPr>
          </w:p>
        </w:tc>
      </w:tr>
      <w:tr w:rsidR="00412DBD" w14:paraId="1331DB45" w14:textId="77777777" w:rsidTr="00412DBD">
        <w:trPr>
          <w:trHeight w:val="198"/>
        </w:trPr>
        <w:tc>
          <w:tcPr>
            <w:tcW w:w="4500" w:type="dxa"/>
            <w:tcBorders>
              <w:left w:val="single" w:sz="2" w:space="0" w:color="231F20"/>
              <w:right w:val="single" w:sz="2" w:space="0" w:color="231F20"/>
            </w:tcBorders>
            <w:shd w:val="clear" w:color="auto" w:fill="E6E7E8"/>
          </w:tcPr>
          <w:p w14:paraId="655DC7EE" w14:textId="77777777" w:rsidR="00412DBD" w:rsidRDefault="00412DBD" w:rsidP="00412DBD">
            <w:pPr>
              <w:pStyle w:val="TableText"/>
              <w:rPr>
                <w:color w:val="231F20"/>
                <w:sz w:val="14"/>
              </w:rPr>
            </w:pPr>
            <w:r w:rsidRPr="008D5FBC">
              <w:t>Blast Movement Technologies USA Inc.</w:t>
            </w:r>
          </w:p>
        </w:tc>
        <w:tc>
          <w:tcPr>
            <w:tcW w:w="1710" w:type="dxa"/>
            <w:vMerge w:val="restart"/>
            <w:tcBorders>
              <w:left w:val="single" w:sz="2" w:space="0" w:color="231F20"/>
              <w:right w:val="single" w:sz="2" w:space="0" w:color="231F20"/>
            </w:tcBorders>
            <w:shd w:val="clear" w:color="auto" w:fill="F9F9F9"/>
            <w:vAlign w:val="center"/>
          </w:tcPr>
          <w:p w14:paraId="59CBED7F" w14:textId="77777777" w:rsidR="00412DBD" w:rsidRDefault="00412DBD" w:rsidP="00412DBD">
            <w:pPr>
              <w:pStyle w:val="TableText"/>
              <w:jc w:val="center"/>
              <w:rPr>
                <w:color w:val="231F20"/>
                <w:sz w:val="14"/>
              </w:rPr>
            </w:pPr>
            <w:r w:rsidRPr="007758B9">
              <w:t>United States of America</w:t>
            </w:r>
          </w:p>
        </w:tc>
        <w:tc>
          <w:tcPr>
            <w:tcW w:w="2790" w:type="dxa"/>
            <w:tcBorders>
              <w:left w:val="single" w:sz="2" w:space="0" w:color="231F20"/>
              <w:right w:val="single" w:sz="2" w:space="0" w:color="231F20"/>
            </w:tcBorders>
            <w:shd w:val="clear" w:color="auto" w:fill="E6E7E8"/>
          </w:tcPr>
          <w:p w14:paraId="7F62FA86" w14:textId="77777777" w:rsidR="00412DBD" w:rsidRDefault="00412DBD" w:rsidP="00412DBD">
            <w:pPr>
              <w:pStyle w:val="TableText"/>
              <w:jc w:val="center"/>
              <w:rPr>
                <w:color w:val="231F20"/>
                <w:sz w:val="14"/>
              </w:rPr>
            </w:pPr>
            <w:r>
              <w:t>Arvada, CO</w:t>
            </w:r>
          </w:p>
        </w:tc>
      </w:tr>
      <w:tr w:rsidR="00412DBD" w14:paraId="59DA14C0" w14:textId="77777777" w:rsidTr="00412DBD">
        <w:trPr>
          <w:trHeight w:val="180"/>
        </w:trPr>
        <w:tc>
          <w:tcPr>
            <w:tcW w:w="4500" w:type="dxa"/>
            <w:tcBorders>
              <w:left w:val="single" w:sz="2" w:space="0" w:color="231F20"/>
              <w:right w:val="single" w:sz="2" w:space="0" w:color="231F20"/>
            </w:tcBorders>
            <w:shd w:val="clear" w:color="auto" w:fill="FFFFFF" w:themeFill="text2"/>
          </w:tcPr>
          <w:p w14:paraId="7AB5B1D1" w14:textId="77777777" w:rsidR="00412DBD" w:rsidRDefault="00412DBD" w:rsidP="00412DBD">
            <w:pPr>
              <w:pStyle w:val="TableText"/>
              <w:rPr>
                <w:color w:val="231F20"/>
                <w:sz w:val="14"/>
              </w:rPr>
            </w:pPr>
            <w:proofErr w:type="spellStart"/>
            <w:r>
              <w:t>Guardvant</w:t>
            </w:r>
            <w:proofErr w:type="spellEnd"/>
            <w:r>
              <w:t>, Inc.</w:t>
            </w:r>
          </w:p>
        </w:tc>
        <w:tc>
          <w:tcPr>
            <w:tcW w:w="1710" w:type="dxa"/>
            <w:vMerge/>
            <w:tcBorders>
              <w:left w:val="single" w:sz="2" w:space="0" w:color="231F20"/>
              <w:right w:val="single" w:sz="2" w:space="0" w:color="231F20"/>
            </w:tcBorders>
            <w:shd w:val="clear" w:color="auto" w:fill="F9F9F9"/>
          </w:tcPr>
          <w:p w14:paraId="27739145" w14:textId="77777777" w:rsidR="00412DBD" w:rsidRDefault="00412DBD" w:rsidP="00412DBD">
            <w:pPr>
              <w:pStyle w:val="TableText"/>
              <w:rPr>
                <w:color w:val="231F20"/>
                <w:sz w:val="14"/>
              </w:rPr>
            </w:pPr>
          </w:p>
        </w:tc>
        <w:tc>
          <w:tcPr>
            <w:tcW w:w="2790" w:type="dxa"/>
            <w:vMerge w:val="restart"/>
            <w:tcBorders>
              <w:left w:val="single" w:sz="2" w:space="0" w:color="231F20"/>
              <w:right w:val="single" w:sz="2" w:space="0" w:color="231F20"/>
            </w:tcBorders>
            <w:shd w:val="clear" w:color="auto" w:fill="FFFFFF" w:themeFill="text2"/>
            <w:vAlign w:val="center"/>
          </w:tcPr>
          <w:p w14:paraId="1798BEBD" w14:textId="77777777" w:rsidR="00412DBD" w:rsidRDefault="00412DBD" w:rsidP="00412DBD">
            <w:pPr>
              <w:pStyle w:val="TableText"/>
              <w:jc w:val="center"/>
              <w:rPr>
                <w:color w:val="231F20"/>
                <w:sz w:val="14"/>
              </w:rPr>
            </w:pPr>
            <w:r>
              <w:t xml:space="preserve">Tucson, </w:t>
            </w:r>
            <w:r w:rsidRPr="007758B9">
              <w:t>A</w:t>
            </w:r>
            <w:r>
              <w:t>Z</w:t>
            </w:r>
          </w:p>
        </w:tc>
      </w:tr>
      <w:tr w:rsidR="00412DBD" w14:paraId="0E5B0BB6" w14:textId="77777777" w:rsidTr="00412DBD">
        <w:trPr>
          <w:trHeight w:val="198"/>
        </w:trPr>
        <w:tc>
          <w:tcPr>
            <w:tcW w:w="4500" w:type="dxa"/>
            <w:tcBorders>
              <w:left w:val="single" w:sz="2" w:space="0" w:color="231F20"/>
              <w:bottom w:val="single" w:sz="2" w:space="0" w:color="231F20"/>
              <w:right w:val="single" w:sz="2" w:space="0" w:color="231F20"/>
            </w:tcBorders>
            <w:shd w:val="clear" w:color="auto" w:fill="F9F9F9"/>
          </w:tcPr>
          <w:p w14:paraId="1E5AFD84" w14:textId="77777777" w:rsidR="00412DBD" w:rsidRDefault="00412DBD" w:rsidP="00412DBD">
            <w:pPr>
              <w:pStyle w:val="TableText"/>
              <w:rPr>
                <w:color w:val="231F20"/>
                <w:sz w:val="14"/>
              </w:rPr>
            </w:pPr>
            <w:r w:rsidRPr="007758B9">
              <w:t>Hexagon Mining Inc.</w:t>
            </w:r>
          </w:p>
        </w:tc>
        <w:tc>
          <w:tcPr>
            <w:tcW w:w="1710" w:type="dxa"/>
            <w:vMerge/>
            <w:tcBorders>
              <w:left w:val="single" w:sz="2" w:space="0" w:color="231F20"/>
              <w:bottom w:val="single" w:sz="2" w:space="0" w:color="231F20"/>
              <w:right w:val="single" w:sz="2" w:space="0" w:color="231F20"/>
            </w:tcBorders>
            <w:shd w:val="clear" w:color="auto" w:fill="F9F9F9"/>
          </w:tcPr>
          <w:p w14:paraId="23BC7CC8" w14:textId="77777777" w:rsidR="00412DBD" w:rsidRDefault="00412DBD" w:rsidP="00412DBD">
            <w:pPr>
              <w:pStyle w:val="TableText"/>
              <w:rPr>
                <w:color w:val="231F20"/>
                <w:sz w:val="14"/>
              </w:rPr>
            </w:pPr>
          </w:p>
        </w:tc>
        <w:tc>
          <w:tcPr>
            <w:tcW w:w="2790" w:type="dxa"/>
            <w:vMerge/>
            <w:tcBorders>
              <w:left w:val="single" w:sz="2" w:space="0" w:color="231F20"/>
              <w:bottom w:val="single" w:sz="2" w:space="0" w:color="231F20"/>
              <w:right w:val="single" w:sz="2" w:space="0" w:color="231F20"/>
            </w:tcBorders>
            <w:shd w:val="clear" w:color="auto" w:fill="E6E7E8"/>
          </w:tcPr>
          <w:p w14:paraId="110BD79B" w14:textId="77777777" w:rsidR="00412DBD" w:rsidRDefault="00412DBD" w:rsidP="00412DBD">
            <w:pPr>
              <w:pStyle w:val="TableText"/>
              <w:rPr>
                <w:color w:val="231F20"/>
                <w:sz w:val="14"/>
              </w:rPr>
            </w:pPr>
          </w:p>
        </w:tc>
      </w:tr>
    </w:tbl>
    <w:p w14:paraId="5BF8B2D7" w14:textId="3E0BD9D9" w:rsidR="00ED2EDA" w:rsidRDefault="00ED2EDA" w:rsidP="00ED2EDA">
      <w:pPr>
        <w:jc w:val="both"/>
        <w:rPr>
          <w:rFonts w:cs="Arial"/>
          <w:szCs w:val="20"/>
        </w:rPr>
      </w:pPr>
    </w:p>
    <w:p w14:paraId="6D7F67F7" w14:textId="1F01A51B" w:rsidR="00412DBD" w:rsidRPr="005C2007" w:rsidRDefault="00412DBD" w:rsidP="00412DBD">
      <w:pPr>
        <w:jc w:val="both"/>
        <w:rPr>
          <w:rFonts w:cs="Arial"/>
          <w:szCs w:val="20"/>
        </w:rPr>
      </w:pPr>
      <w:r w:rsidRPr="006170D7">
        <w:rPr>
          <w:rFonts w:cs="Arial"/>
          <w:b/>
          <w:szCs w:val="20"/>
        </w:rPr>
        <w:t>12</w:t>
      </w:r>
      <w:r w:rsidRPr="005C2007">
        <w:rPr>
          <w:rFonts w:cs="Arial"/>
          <w:szCs w:val="20"/>
        </w:rPr>
        <w:t xml:space="preserve">. </w:t>
      </w:r>
      <w:r w:rsidRPr="001F56B6">
        <w:rPr>
          <w:rFonts w:cs="Arial"/>
          <w:b/>
          <w:bCs/>
          <w:szCs w:val="20"/>
          <w:u w:val="single"/>
        </w:rPr>
        <w:t>Dispute Resolution</w:t>
      </w:r>
      <w:r w:rsidRPr="005C2007">
        <w:rPr>
          <w:rFonts w:cs="Arial"/>
          <w:szCs w:val="20"/>
        </w:rPr>
        <w:t xml:space="preserve">. If any dispute between the parties arises out of this Contract, the parties agree as follows: </w:t>
      </w:r>
    </w:p>
    <w:p w14:paraId="4BC46B43" w14:textId="77777777" w:rsidR="00412DBD" w:rsidRDefault="00412DBD" w:rsidP="00412DBD">
      <w:pPr>
        <w:pStyle w:val="ListParagraph"/>
        <w:ind w:left="180"/>
        <w:jc w:val="both"/>
        <w:rPr>
          <w:rFonts w:ascii="Arial" w:hAnsi="Arial" w:cs="Arial"/>
          <w:sz w:val="20"/>
          <w:szCs w:val="20"/>
        </w:rPr>
      </w:pPr>
    </w:p>
    <w:p w14:paraId="6EF1C42F" w14:textId="4278BD4C" w:rsidR="00ED2EDA" w:rsidRDefault="00412DBD" w:rsidP="00412DBD">
      <w:pPr>
        <w:jc w:val="both"/>
        <w:rPr>
          <w:rFonts w:cs="Arial"/>
          <w:szCs w:val="20"/>
        </w:rPr>
      </w:pPr>
      <w:r w:rsidRPr="005C2007">
        <w:rPr>
          <w:rFonts w:cs="Arial"/>
          <w:szCs w:val="20"/>
        </w:rPr>
        <w:t>1</w:t>
      </w:r>
      <w:r>
        <w:rPr>
          <w:rFonts w:cs="Arial"/>
          <w:szCs w:val="20"/>
        </w:rPr>
        <w:t>2</w:t>
      </w:r>
      <w:r w:rsidRPr="005C2007">
        <w:rPr>
          <w:rFonts w:cs="Arial"/>
          <w:szCs w:val="20"/>
        </w:rPr>
        <w:t>.1. Except for proceedings seeking interlocutory or equitable relief, before commencing formal court or arbitration proceedings hereunder, the parties agree to first attempt in good faith to</w:t>
      </w:r>
      <w:r>
        <w:rPr>
          <w:rFonts w:cs="Arial"/>
          <w:szCs w:val="20"/>
        </w:rPr>
        <w:t xml:space="preserve"> </w:t>
      </w:r>
      <w:r w:rsidRPr="005C2007">
        <w:rPr>
          <w:rFonts w:cs="Arial"/>
          <w:szCs w:val="20"/>
        </w:rPr>
        <w:t>resolve such dispute through mutual friendly negotiation. The aggrieved party agrees to contact the other party in writing and allow a reasonable period of time, not less than thirty (30) days, for the parties to negotiate resolution. Both parties agree to appoint managers or senior officers, as appropriate, to facilitate resolution.</w:t>
      </w:r>
    </w:p>
    <w:p w14:paraId="4C00365C" w14:textId="2B12C836" w:rsidR="00ED2EDA" w:rsidRPr="00EB0EBC" w:rsidRDefault="00ED2EDA" w:rsidP="00ED2EDA">
      <w:pPr>
        <w:jc w:val="both"/>
        <w:rPr>
          <w:rFonts w:cs="Arial"/>
          <w:color w:val="auto"/>
          <w:szCs w:val="20"/>
        </w:rPr>
      </w:pPr>
    </w:p>
    <w:p w14:paraId="7B3B1358" w14:textId="77777777" w:rsidR="008D64B0" w:rsidRPr="00EB0EBC" w:rsidRDefault="008D64B0" w:rsidP="008D64B0">
      <w:pPr>
        <w:pStyle w:val="ListParagraph"/>
        <w:ind w:left="567" w:hanging="387"/>
        <w:jc w:val="both"/>
        <w:rPr>
          <w:rFonts w:ascii="Arial" w:hAnsi="Arial" w:cs="Arial"/>
          <w:sz w:val="20"/>
          <w:szCs w:val="20"/>
        </w:rPr>
      </w:pPr>
      <w:r w:rsidRPr="00EB0EBC">
        <w:rPr>
          <w:rFonts w:ascii="Arial" w:hAnsi="Arial" w:cs="Arial"/>
          <w:sz w:val="20"/>
          <w:szCs w:val="20"/>
        </w:rPr>
        <w:t xml:space="preserve">12.2. Should the parties be unable to resolve the dispute through negotiation or if a party is seeking interlocutory or equitable relief, either party may initiate proceedings as follows: </w:t>
      </w:r>
    </w:p>
    <w:p w14:paraId="24621D3E" w14:textId="77777777" w:rsidR="008D64B0" w:rsidRPr="00EB0EBC" w:rsidRDefault="008D64B0" w:rsidP="008D64B0">
      <w:pPr>
        <w:ind w:left="567" w:hanging="387"/>
        <w:jc w:val="both"/>
        <w:rPr>
          <w:rFonts w:cs="Arial"/>
          <w:color w:val="auto"/>
          <w:szCs w:val="20"/>
        </w:rPr>
      </w:pPr>
    </w:p>
    <w:p w14:paraId="63089A2E" w14:textId="77777777" w:rsidR="008D64B0" w:rsidRPr="00EB0EBC" w:rsidRDefault="008D64B0" w:rsidP="008D64B0">
      <w:pPr>
        <w:ind w:left="993" w:hanging="426"/>
        <w:jc w:val="both"/>
        <w:rPr>
          <w:rFonts w:cs="Arial"/>
          <w:color w:val="auto"/>
          <w:szCs w:val="20"/>
        </w:rPr>
      </w:pPr>
      <w:r w:rsidRPr="00EB0EBC">
        <w:rPr>
          <w:rFonts w:cs="Arial"/>
          <w:color w:val="auto"/>
          <w:szCs w:val="20"/>
        </w:rPr>
        <w:t xml:space="preserve">(A) </w:t>
      </w:r>
      <w:r w:rsidRPr="00EB0EBC">
        <w:rPr>
          <w:rFonts w:cs="Arial"/>
          <w:color w:val="auto"/>
          <w:szCs w:val="20"/>
        </w:rPr>
        <w:tab/>
        <w:t xml:space="preserve">For any Client located in the United States, the parties agree to the exclusive jurisdiction and venue in the state and federal courts having jurisdiction in Tucson, Arizona. The prevailing party is entitled to collect from the other party its reasonable attorneys’ fees and costs associated with the proceedings. </w:t>
      </w:r>
    </w:p>
    <w:p w14:paraId="5C0FBB90" w14:textId="77777777" w:rsidR="008D64B0" w:rsidRPr="00EB0EBC" w:rsidRDefault="008D64B0" w:rsidP="008D64B0">
      <w:pPr>
        <w:ind w:left="993" w:hanging="426"/>
        <w:jc w:val="both"/>
        <w:rPr>
          <w:rFonts w:cs="Arial"/>
          <w:color w:val="auto"/>
          <w:szCs w:val="20"/>
        </w:rPr>
      </w:pPr>
    </w:p>
    <w:p w14:paraId="629B6FE2" w14:textId="77777777" w:rsidR="008D64B0" w:rsidRPr="00EB0EBC" w:rsidRDefault="008D64B0" w:rsidP="008D64B0">
      <w:pPr>
        <w:ind w:left="993" w:hanging="426"/>
        <w:jc w:val="both"/>
        <w:rPr>
          <w:rFonts w:cs="Arial"/>
          <w:color w:val="auto"/>
          <w:szCs w:val="20"/>
        </w:rPr>
      </w:pPr>
      <w:r w:rsidRPr="00EB0EBC">
        <w:rPr>
          <w:rFonts w:cs="Arial"/>
          <w:color w:val="auto"/>
          <w:szCs w:val="20"/>
        </w:rPr>
        <w:t xml:space="preserve">(B) </w:t>
      </w:r>
      <w:r w:rsidRPr="00EB0EBC">
        <w:rPr>
          <w:rFonts w:cs="Arial"/>
          <w:color w:val="auto"/>
          <w:szCs w:val="20"/>
        </w:rPr>
        <w:tab/>
        <w:t xml:space="preserve">For any Client located outside the United States, the parties agree to initiate arbitration procedures in the jurisdiction set forth in the chart above (Section 11). Each party will bear its own costs in such arbitration proceedings with the exception of the fees and expenses of the arbitrators, which will be shared equally between the parties. All aspects of the arbitration will be treated as confidential. Before any disclosure, the party seeking disclosure will obtain written notice from the other party and afford such other party the opportunity to protect its interests. Judgment made on an arbitration award may be entered into by any court having jurisdiction. </w:t>
      </w:r>
    </w:p>
    <w:p w14:paraId="00201283" w14:textId="77777777" w:rsidR="008D64B0" w:rsidRPr="00EB0EBC" w:rsidRDefault="008D64B0" w:rsidP="008D64B0">
      <w:pPr>
        <w:ind w:left="360"/>
        <w:jc w:val="both"/>
        <w:rPr>
          <w:rFonts w:cs="Arial"/>
          <w:color w:val="auto"/>
          <w:szCs w:val="20"/>
        </w:rPr>
      </w:pPr>
    </w:p>
    <w:p w14:paraId="6972E429" w14:textId="77777777" w:rsidR="008D64B0" w:rsidRPr="00EB0EBC" w:rsidRDefault="008D64B0" w:rsidP="008D64B0">
      <w:pPr>
        <w:jc w:val="both"/>
        <w:rPr>
          <w:rFonts w:cs="Arial"/>
          <w:color w:val="auto"/>
          <w:szCs w:val="20"/>
        </w:rPr>
      </w:pPr>
      <w:r w:rsidRPr="00EB0EBC">
        <w:rPr>
          <w:rFonts w:cs="Arial"/>
          <w:b/>
          <w:color w:val="auto"/>
          <w:szCs w:val="20"/>
        </w:rPr>
        <w:t>13</w:t>
      </w:r>
      <w:r w:rsidRPr="00EB0EBC">
        <w:rPr>
          <w:rFonts w:cs="Arial"/>
          <w:color w:val="auto"/>
          <w:szCs w:val="20"/>
        </w:rPr>
        <w:t xml:space="preserve">. </w:t>
      </w:r>
      <w:r w:rsidRPr="00EB0EBC">
        <w:rPr>
          <w:rFonts w:cs="Arial"/>
          <w:b/>
          <w:bCs/>
          <w:color w:val="auto"/>
          <w:szCs w:val="20"/>
          <w:u w:val="single"/>
        </w:rPr>
        <w:t>Force Majeure</w:t>
      </w:r>
      <w:r w:rsidRPr="00EB0EBC">
        <w:rPr>
          <w:rFonts w:cs="Arial"/>
          <w:color w:val="auto"/>
          <w:szCs w:val="20"/>
        </w:rPr>
        <w:t>. Excepting payment obligations, neither party will be liable for any delay or failure to perform its obligations under this Contract if such delay is due to circumstances beyond the reasonable control of the party, which results in that party’s inability to timely perform hereunder. Such circumstances include without limitation acts of God, lightning, illegal strikes, earthquakes, floods, storms, fires, natural disasters, pandemics, acts of war, terrorism, riots, civil commotion, trade sanctions or other governmental restrictions on commerce, internet failure, postal or transportation delays, and changes in applicable law (“</w:t>
      </w:r>
      <w:r w:rsidRPr="00EB0EBC">
        <w:rPr>
          <w:rFonts w:cs="Arial"/>
          <w:b/>
          <w:color w:val="auto"/>
          <w:szCs w:val="20"/>
        </w:rPr>
        <w:t>Force Majeure</w:t>
      </w:r>
      <w:r w:rsidRPr="00EB0EBC">
        <w:rPr>
          <w:rFonts w:cs="Arial"/>
          <w:color w:val="auto"/>
          <w:szCs w:val="20"/>
        </w:rPr>
        <w:t xml:space="preserve">”). </w:t>
      </w:r>
    </w:p>
    <w:p w14:paraId="77A7D80D" w14:textId="77777777" w:rsidR="008D64B0" w:rsidRPr="00EB0EBC" w:rsidRDefault="008D64B0" w:rsidP="008D64B0">
      <w:pPr>
        <w:ind w:left="180"/>
        <w:jc w:val="both"/>
        <w:rPr>
          <w:rFonts w:cs="Arial"/>
          <w:color w:val="auto"/>
          <w:szCs w:val="20"/>
        </w:rPr>
      </w:pPr>
    </w:p>
    <w:p w14:paraId="7D186D2B" w14:textId="77777777" w:rsidR="008D64B0" w:rsidRPr="00EB0EBC" w:rsidRDefault="008D64B0" w:rsidP="008D64B0">
      <w:pPr>
        <w:ind w:left="567" w:hanging="387"/>
        <w:jc w:val="both"/>
        <w:rPr>
          <w:rFonts w:cs="Arial"/>
          <w:color w:val="auto"/>
          <w:szCs w:val="20"/>
        </w:rPr>
      </w:pPr>
      <w:r w:rsidRPr="00EB0EBC">
        <w:rPr>
          <w:rFonts w:cs="Arial"/>
          <w:color w:val="auto"/>
          <w:szCs w:val="20"/>
        </w:rPr>
        <w:t xml:space="preserve">13.1. If a delay or failure to perform is caused by Force Majeure, the performance of that party’s obligations will be suspended, and the affected party will be entitled to a reasonable extension of time for performing such obligations. </w:t>
      </w:r>
    </w:p>
    <w:p w14:paraId="2D2113F7" w14:textId="77777777" w:rsidR="008D64B0" w:rsidRPr="00EB0EBC" w:rsidRDefault="008D64B0" w:rsidP="008D64B0">
      <w:pPr>
        <w:ind w:left="567" w:hanging="387"/>
        <w:jc w:val="both"/>
        <w:rPr>
          <w:rFonts w:cs="Arial"/>
          <w:color w:val="auto"/>
          <w:szCs w:val="20"/>
        </w:rPr>
      </w:pPr>
    </w:p>
    <w:p w14:paraId="6907C29F" w14:textId="77777777" w:rsidR="008D64B0" w:rsidRPr="00EB0EBC" w:rsidRDefault="008D64B0" w:rsidP="008D64B0">
      <w:pPr>
        <w:ind w:left="567" w:hanging="387"/>
        <w:jc w:val="both"/>
        <w:rPr>
          <w:rFonts w:cs="Arial"/>
          <w:color w:val="auto"/>
          <w:szCs w:val="20"/>
        </w:rPr>
      </w:pPr>
      <w:r w:rsidRPr="00EB0EBC">
        <w:rPr>
          <w:rFonts w:cs="Arial"/>
          <w:color w:val="auto"/>
          <w:szCs w:val="20"/>
        </w:rPr>
        <w:t xml:space="preserve">13.2. If a delay or failure to perform exceeds sixty (60) days due to Force Majeure, either party may terminate the Contract by providing written notice to the other party. </w:t>
      </w:r>
    </w:p>
    <w:p w14:paraId="69C22A12" w14:textId="77777777" w:rsidR="008D64B0" w:rsidRPr="00EB0EBC" w:rsidRDefault="008D64B0" w:rsidP="008D64B0">
      <w:pPr>
        <w:ind w:left="567" w:hanging="387"/>
        <w:jc w:val="both"/>
        <w:rPr>
          <w:rFonts w:cs="Arial"/>
          <w:color w:val="auto"/>
          <w:szCs w:val="20"/>
        </w:rPr>
      </w:pPr>
    </w:p>
    <w:p w14:paraId="58D4EC59" w14:textId="77777777" w:rsidR="008D64B0" w:rsidRPr="00EB0EBC" w:rsidRDefault="008D64B0" w:rsidP="008D64B0">
      <w:pPr>
        <w:ind w:left="567" w:hanging="387"/>
        <w:jc w:val="both"/>
        <w:rPr>
          <w:rFonts w:cs="Arial"/>
          <w:color w:val="auto"/>
          <w:szCs w:val="20"/>
        </w:rPr>
      </w:pPr>
      <w:r w:rsidRPr="00EB0EBC">
        <w:rPr>
          <w:rFonts w:cs="Arial"/>
          <w:color w:val="auto"/>
          <w:szCs w:val="20"/>
        </w:rPr>
        <w:t>13.3. If the Contract is terminated due to Force Majeure, the parties will negotiate in good faith any payments or refunds that are due and equitable.</w:t>
      </w:r>
    </w:p>
    <w:p w14:paraId="7B7BFD2D" w14:textId="77777777" w:rsidR="008D64B0" w:rsidRPr="00EB0EBC" w:rsidRDefault="008D64B0" w:rsidP="008D64B0">
      <w:pPr>
        <w:ind w:left="180"/>
        <w:jc w:val="both"/>
        <w:rPr>
          <w:rFonts w:cs="Arial"/>
          <w:color w:val="auto"/>
          <w:szCs w:val="20"/>
        </w:rPr>
      </w:pPr>
    </w:p>
    <w:p w14:paraId="5EACA84C" w14:textId="77777777" w:rsidR="008D64B0" w:rsidRPr="00EB0EBC" w:rsidRDefault="008D64B0" w:rsidP="008D64B0">
      <w:pPr>
        <w:jc w:val="both"/>
        <w:rPr>
          <w:rFonts w:cs="Arial"/>
          <w:color w:val="auto"/>
          <w:szCs w:val="20"/>
        </w:rPr>
      </w:pPr>
      <w:r w:rsidRPr="00EB0EBC">
        <w:rPr>
          <w:rFonts w:cs="Arial"/>
          <w:b/>
          <w:color w:val="auto"/>
          <w:szCs w:val="20"/>
        </w:rPr>
        <w:t>14.</w:t>
      </w:r>
      <w:r w:rsidRPr="00EB0EBC">
        <w:rPr>
          <w:rFonts w:cs="Arial"/>
          <w:color w:val="auto"/>
          <w:szCs w:val="20"/>
        </w:rPr>
        <w:t xml:space="preserve"> </w:t>
      </w:r>
      <w:r w:rsidRPr="00EB0EBC">
        <w:rPr>
          <w:rFonts w:cs="Arial"/>
          <w:b/>
          <w:bCs/>
          <w:color w:val="auto"/>
          <w:szCs w:val="20"/>
          <w:u w:val="single"/>
        </w:rPr>
        <w:t>Termination</w:t>
      </w:r>
    </w:p>
    <w:p w14:paraId="20C15CAE" w14:textId="77777777" w:rsidR="008D64B0" w:rsidRPr="00EB0EBC" w:rsidRDefault="008D64B0" w:rsidP="008D64B0">
      <w:pPr>
        <w:ind w:left="270"/>
        <w:jc w:val="both"/>
        <w:rPr>
          <w:rFonts w:cs="Arial"/>
          <w:color w:val="auto"/>
          <w:szCs w:val="20"/>
        </w:rPr>
      </w:pPr>
    </w:p>
    <w:p w14:paraId="350D365C" w14:textId="77777777" w:rsidR="008D64B0" w:rsidRPr="00EB0EBC" w:rsidRDefault="008D64B0" w:rsidP="008D64B0">
      <w:pPr>
        <w:ind w:left="567" w:hanging="387"/>
        <w:jc w:val="both"/>
        <w:rPr>
          <w:rFonts w:cs="Arial"/>
          <w:color w:val="auto"/>
          <w:szCs w:val="20"/>
        </w:rPr>
      </w:pPr>
      <w:r w:rsidRPr="00EB0EBC">
        <w:rPr>
          <w:rFonts w:cs="Arial"/>
          <w:color w:val="auto"/>
          <w:szCs w:val="20"/>
        </w:rPr>
        <w:t>14.1.</w:t>
      </w:r>
      <w:r w:rsidRPr="00EB0EBC">
        <w:rPr>
          <w:rFonts w:cs="Arial"/>
          <w:b/>
          <w:bCs/>
          <w:color w:val="auto"/>
          <w:szCs w:val="20"/>
        </w:rPr>
        <w:t xml:space="preserve"> </w:t>
      </w:r>
      <w:r w:rsidRPr="00EB0EBC">
        <w:rPr>
          <w:rFonts w:cs="Arial"/>
          <w:b/>
          <w:bCs/>
          <w:color w:val="auto"/>
          <w:szCs w:val="20"/>
          <w:u w:val="single"/>
        </w:rPr>
        <w:t>For Cause</w:t>
      </w:r>
      <w:r w:rsidRPr="00EB0EBC">
        <w:rPr>
          <w:rFonts w:cs="Arial"/>
          <w:color w:val="auto"/>
          <w:szCs w:val="20"/>
        </w:rPr>
        <w:t>. For terms and conditions regarding Termination for Cause, see the ‘Term and Termination’ sections under Appendices A, B, C and D, as applicable to this Contract.</w:t>
      </w:r>
    </w:p>
    <w:p w14:paraId="56EB3545" w14:textId="77777777" w:rsidR="008D64B0" w:rsidRPr="00EB0EBC" w:rsidRDefault="008D64B0" w:rsidP="008D64B0">
      <w:pPr>
        <w:ind w:left="567" w:hanging="387"/>
        <w:jc w:val="both"/>
        <w:rPr>
          <w:rFonts w:cs="Arial"/>
          <w:color w:val="auto"/>
          <w:szCs w:val="20"/>
        </w:rPr>
      </w:pPr>
    </w:p>
    <w:p w14:paraId="18678DB5" w14:textId="77777777" w:rsidR="008D64B0" w:rsidRPr="00EB0EBC" w:rsidRDefault="008D64B0" w:rsidP="008D64B0">
      <w:pPr>
        <w:ind w:left="567" w:hanging="387"/>
        <w:jc w:val="both"/>
        <w:rPr>
          <w:rFonts w:cs="Arial"/>
          <w:color w:val="auto"/>
          <w:szCs w:val="20"/>
        </w:rPr>
      </w:pPr>
      <w:r w:rsidRPr="00EB0EBC">
        <w:rPr>
          <w:rFonts w:cs="Arial"/>
          <w:color w:val="auto"/>
          <w:szCs w:val="20"/>
        </w:rPr>
        <w:t xml:space="preserve">14.2. </w:t>
      </w:r>
      <w:r w:rsidRPr="00EB0EBC">
        <w:rPr>
          <w:rFonts w:cs="Arial"/>
          <w:b/>
          <w:bCs/>
          <w:color w:val="auto"/>
          <w:szCs w:val="20"/>
          <w:u w:val="single"/>
        </w:rPr>
        <w:t>For Convenience</w:t>
      </w:r>
      <w:r w:rsidRPr="00EB0EBC">
        <w:rPr>
          <w:rFonts w:cs="Arial"/>
          <w:color w:val="auto"/>
          <w:szCs w:val="20"/>
          <w:u w:val="single"/>
        </w:rPr>
        <w:t xml:space="preserve">. </w:t>
      </w:r>
      <w:r w:rsidRPr="00EB0EBC">
        <w:rPr>
          <w:rFonts w:cs="Arial"/>
          <w:color w:val="auto"/>
          <w:szCs w:val="20"/>
        </w:rPr>
        <w:t xml:space="preserve">Client may terminate the Contract anytime during its term by submitting a thirty (30) day written notice to Hexagon. Notwithstanding the foregoing, the following provisions shall also apply as a result of early termination for convenience: </w:t>
      </w:r>
    </w:p>
    <w:p w14:paraId="57B412F9" w14:textId="77777777" w:rsidR="008D64B0" w:rsidRPr="00EB0EBC" w:rsidRDefault="008D64B0" w:rsidP="008D64B0">
      <w:pPr>
        <w:ind w:left="567" w:hanging="387"/>
        <w:jc w:val="both"/>
        <w:rPr>
          <w:rFonts w:cs="Arial"/>
          <w:color w:val="auto"/>
          <w:szCs w:val="20"/>
        </w:rPr>
      </w:pPr>
    </w:p>
    <w:p w14:paraId="3248B978" w14:textId="77777777" w:rsidR="008D64B0" w:rsidRPr="00EB0EBC" w:rsidRDefault="008D64B0" w:rsidP="008D64B0">
      <w:pPr>
        <w:pStyle w:val="ListParagraph"/>
        <w:numPr>
          <w:ilvl w:val="0"/>
          <w:numId w:val="36"/>
        </w:numPr>
        <w:ind w:left="851" w:hanging="284"/>
        <w:jc w:val="both"/>
        <w:rPr>
          <w:rFonts w:ascii="Arial" w:hAnsi="Arial" w:cs="Arial"/>
          <w:sz w:val="20"/>
          <w:szCs w:val="20"/>
        </w:rPr>
      </w:pPr>
      <w:r w:rsidRPr="00EB0EBC">
        <w:rPr>
          <w:rFonts w:ascii="Arial" w:hAnsi="Arial" w:cs="Arial"/>
          <w:sz w:val="20"/>
          <w:szCs w:val="20"/>
        </w:rPr>
        <w:t xml:space="preserve">Client will pay an early termination for convenience fee equivalent to the greater of fifty percent </w:t>
      </w:r>
      <w:r w:rsidRPr="00EB0EBC">
        <w:rPr>
          <w:rFonts w:ascii="Arial" w:hAnsi="Arial" w:cs="Arial"/>
          <w:b/>
          <w:bCs/>
          <w:sz w:val="20"/>
          <w:szCs w:val="20"/>
        </w:rPr>
        <w:t>(50%)</w:t>
      </w:r>
      <w:r w:rsidRPr="00EB0EBC">
        <w:rPr>
          <w:rFonts w:ascii="Arial" w:hAnsi="Arial" w:cs="Arial"/>
          <w:sz w:val="20"/>
          <w:szCs w:val="20"/>
        </w:rPr>
        <w:t xml:space="preserve"> of the remaining contract balance or the amount equivalent to the twelve (12) month invoicing fees that would be due had the Contract not been terminated;</w:t>
      </w:r>
    </w:p>
    <w:p w14:paraId="2AFFF05C" w14:textId="77777777" w:rsidR="008D64B0" w:rsidRPr="00EB0EBC" w:rsidRDefault="008D64B0" w:rsidP="008D64B0">
      <w:pPr>
        <w:pStyle w:val="ListParagraph"/>
        <w:ind w:left="851" w:hanging="284"/>
        <w:jc w:val="both"/>
        <w:rPr>
          <w:rFonts w:ascii="Arial" w:hAnsi="Arial" w:cs="Arial"/>
          <w:sz w:val="20"/>
          <w:szCs w:val="20"/>
        </w:rPr>
      </w:pPr>
    </w:p>
    <w:p w14:paraId="37B4C301" w14:textId="29F5B53F" w:rsidR="008D64B0" w:rsidRPr="00EB0EBC" w:rsidRDefault="008D64B0" w:rsidP="008D64B0">
      <w:pPr>
        <w:pStyle w:val="ListParagraph"/>
        <w:numPr>
          <w:ilvl w:val="0"/>
          <w:numId w:val="36"/>
        </w:numPr>
        <w:ind w:left="851" w:hanging="284"/>
        <w:jc w:val="both"/>
        <w:rPr>
          <w:rFonts w:ascii="Arial" w:hAnsi="Arial" w:cs="Arial"/>
          <w:sz w:val="20"/>
          <w:szCs w:val="20"/>
        </w:rPr>
      </w:pPr>
      <w:r w:rsidRPr="00EB0EBC">
        <w:rPr>
          <w:rFonts w:ascii="Arial" w:hAnsi="Arial" w:cs="Arial"/>
          <w:sz w:val="20"/>
          <w:szCs w:val="20"/>
        </w:rPr>
        <w:t xml:space="preserve">The first-year fees paid in advance will not be reimbursed. </w:t>
      </w:r>
    </w:p>
    <w:p w14:paraId="1FCD69AA" w14:textId="77777777" w:rsidR="008D64B0" w:rsidRPr="00EB0EBC" w:rsidRDefault="008D64B0" w:rsidP="008D64B0">
      <w:pPr>
        <w:pStyle w:val="ListParagraph"/>
        <w:rPr>
          <w:rFonts w:ascii="Arial" w:hAnsi="Arial" w:cs="Arial"/>
          <w:sz w:val="20"/>
          <w:szCs w:val="20"/>
        </w:rPr>
      </w:pPr>
    </w:p>
    <w:p w14:paraId="0CE29FCF" w14:textId="77777777" w:rsidR="008D64B0" w:rsidRPr="00EB0EBC" w:rsidRDefault="008D64B0" w:rsidP="008D64B0">
      <w:pPr>
        <w:pStyle w:val="ListParagraph"/>
        <w:numPr>
          <w:ilvl w:val="0"/>
          <w:numId w:val="36"/>
        </w:numPr>
        <w:ind w:left="851" w:hanging="284"/>
        <w:jc w:val="both"/>
        <w:rPr>
          <w:rFonts w:ascii="Arial" w:hAnsi="Arial" w:cs="Arial"/>
          <w:sz w:val="20"/>
          <w:szCs w:val="20"/>
        </w:rPr>
      </w:pPr>
      <w:r w:rsidRPr="00EB0EBC">
        <w:rPr>
          <w:rFonts w:ascii="Arial" w:hAnsi="Arial" w:cs="Arial"/>
          <w:sz w:val="20"/>
          <w:szCs w:val="20"/>
        </w:rPr>
        <w:t xml:space="preserve">Where Maintenance / Subscription fees are not paid in advance for a respective Period, and Client terminates the relevant Contract / Order before the end of such Period, Client shall pay the remainder of the Maintenance / Subscription fees corresponding to the remainder of such Maintenance / Subscription Period; </w:t>
      </w:r>
    </w:p>
    <w:p w14:paraId="6D19862A" w14:textId="77777777" w:rsidR="008D64B0" w:rsidRPr="00EB0EBC" w:rsidRDefault="008D64B0" w:rsidP="008D64B0">
      <w:pPr>
        <w:pStyle w:val="ListParagraph"/>
        <w:ind w:left="851" w:hanging="284"/>
        <w:jc w:val="both"/>
        <w:rPr>
          <w:rFonts w:ascii="Arial" w:hAnsi="Arial" w:cs="Arial"/>
          <w:sz w:val="20"/>
          <w:szCs w:val="20"/>
        </w:rPr>
      </w:pPr>
    </w:p>
    <w:p w14:paraId="073CDB6B" w14:textId="77777777" w:rsidR="008D64B0" w:rsidRPr="00EB0EBC" w:rsidRDefault="008D64B0" w:rsidP="008D64B0">
      <w:pPr>
        <w:pStyle w:val="ListParagraph"/>
        <w:numPr>
          <w:ilvl w:val="0"/>
          <w:numId w:val="36"/>
        </w:numPr>
        <w:ind w:left="851" w:hanging="284"/>
        <w:jc w:val="both"/>
        <w:rPr>
          <w:rFonts w:ascii="Arial" w:hAnsi="Arial" w:cs="Arial"/>
          <w:sz w:val="20"/>
          <w:szCs w:val="20"/>
          <w:u w:val="single"/>
        </w:rPr>
      </w:pPr>
      <w:r w:rsidRPr="00EB0EBC">
        <w:rPr>
          <w:rFonts w:ascii="Arial" w:hAnsi="Arial" w:cs="Arial"/>
          <w:sz w:val="20"/>
          <w:szCs w:val="20"/>
        </w:rPr>
        <w:t>Hexagon shall also be reimbursed for all costs and expenses incurred in relation to the demobilization of Hexagon’s Personnel and equipment (if any) from Client’s site, including subcontractors to Hexagon; and</w:t>
      </w:r>
    </w:p>
    <w:p w14:paraId="44BA498C" w14:textId="77777777" w:rsidR="008D64B0" w:rsidRPr="00EB0EBC" w:rsidRDefault="008D64B0" w:rsidP="008D64B0">
      <w:pPr>
        <w:ind w:left="851" w:hanging="284"/>
        <w:jc w:val="both"/>
        <w:rPr>
          <w:rFonts w:cs="Arial"/>
          <w:color w:val="auto"/>
          <w:szCs w:val="20"/>
          <w:u w:val="single"/>
        </w:rPr>
      </w:pPr>
    </w:p>
    <w:p w14:paraId="39A46A1C" w14:textId="77777777" w:rsidR="008D64B0" w:rsidRPr="00EB0EBC" w:rsidRDefault="008D64B0" w:rsidP="008D64B0">
      <w:pPr>
        <w:pStyle w:val="ListParagraph"/>
        <w:numPr>
          <w:ilvl w:val="0"/>
          <w:numId w:val="36"/>
        </w:numPr>
        <w:ind w:left="851" w:hanging="284"/>
        <w:jc w:val="both"/>
        <w:rPr>
          <w:rFonts w:ascii="Arial" w:hAnsi="Arial" w:cs="Arial"/>
          <w:sz w:val="20"/>
          <w:szCs w:val="20"/>
        </w:rPr>
      </w:pPr>
      <w:r w:rsidRPr="00EB0EBC">
        <w:rPr>
          <w:rFonts w:ascii="Arial" w:hAnsi="Arial" w:cs="Arial"/>
          <w:sz w:val="20"/>
          <w:szCs w:val="20"/>
        </w:rPr>
        <w:t>If Client terminates a Hardware Order for Convenience, Client shall reimburse Hexagon for all Hardware items manufactured under such Order within the period between Order acceptance date and the date Hexagon received the termination notice. The reimbursement shall apply even if the corresponding Hardware items were not delivered to Client before termination and shall include any expenses associated thereof, such as, but not limited to man hours spent on manufacturing the Hardware items, Hardware parts, components and consumables.</w:t>
      </w:r>
    </w:p>
    <w:p w14:paraId="73877D60" w14:textId="77777777" w:rsidR="008D64B0" w:rsidRPr="00EB0EBC" w:rsidRDefault="008D64B0" w:rsidP="008D64B0">
      <w:pPr>
        <w:ind w:left="567" w:hanging="387"/>
        <w:jc w:val="both"/>
        <w:rPr>
          <w:rFonts w:cs="Arial"/>
          <w:color w:val="auto"/>
          <w:szCs w:val="20"/>
        </w:rPr>
      </w:pPr>
    </w:p>
    <w:p w14:paraId="2FE1B779" w14:textId="77777777" w:rsidR="008D64B0" w:rsidRPr="00EB0EBC" w:rsidRDefault="008D64B0" w:rsidP="008D64B0">
      <w:pPr>
        <w:pStyle w:val="ListParagraph"/>
        <w:numPr>
          <w:ilvl w:val="1"/>
          <w:numId w:val="35"/>
        </w:numPr>
        <w:tabs>
          <w:tab w:val="left" w:pos="360"/>
        </w:tabs>
        <w:ind w:left="567" w:hanging="387"/>
        <w:jc w:val="both"/>
        <w:rPr>
          <w:rFonts w:ascii="Arial" w:eastAsia="Times New Roman" w:hAnsi="Arial" w:cs="Arial"/>
          <w:sz w:val="20"/>
          <w:szCs w:val="20"/>
        </w:rPr>
      </w:pPr>
      <w:r w:rsidRPr="00EB0EBC">
        <w:rPr>
          <w:rFonts w:ascii="Arial" w:hAnsi="Arial" w:cs="Arial"/>
          <w:b/>
          <w:bCs/>
          <w:sz w:val="20"/>
          <w:szCs w:val="20"/>
        </w:rPr>
        <w:t xml:space="preserve"> </w:t>
      </w:r>
      <w:r w:rsidRPr="00EB0EBC">
        <w:rPr>
          <w:rFonts w:ascii="Arial" w:hAnsi="Arial" w:cs="Arial"/>
          <w:b/>
          <w:bCs/>
          <w:sz w:val="20"/>
          <w:szCs w:val="20"/>
          <w:u w:val="single"/>
        </w:rPr>
        <w:t>Due to Force Majeure</w:t>
      </w:r>
      <w:r w:rsidRPr="00EB0EBC">
        <w:rPr>
          <w:rFonts w:ascii="Arial" w:hAnsi="Arial" w:cs="Arial"/>
          <w:sz w:val="20"/>
          <w:szCs w:val="20"/>
        </w:rPr>
        <w:t xml:space="preserve">: Client or Hexagon, as the case may be, may terminate the Contract / Order anytime during its term if a delay or failure to perform its obligations exceeds sixty (60) days due to the occurrence of a Force Majeure event. In such case, the party affected by the Force Majeure event may terminate the Contract / Order by providing immediate written notice to the other party. </w:t>
      </w:r>
    </w:p>
    <w:p w14:paraId="01487082" w14:textId="77777777" w:rsidR="008D64B0" w:rsidRPr="00EB0EBC" w:rsidRDefault="008D64B0" w:rsidP="008D64B0">
      <w:pPr>
        <w:ind w:left="567" w:hanging="387"/>
        <w:jc w:val="both"/>
        <w:rPr>
          <w:rFonts w:cs="Arial"/>
          <w:color w:val="auto"/>
          <w:szCs w:val="20"/>
          <w:u w:val="single"/>
        </w:rPr>
      </w:pPr>
    </w:p>
    <w:p w14:paraId="5310CCA5" w14:textId="77777777" w:rsidR="008D64B0" w:rsidRPr="00EB0EBC" w:rsidRDefault="008D64B0" w:rsidP="008D64B0">
      <w:pPr>
        <w:ind w:left="567" w:hanging="387"/>
        <w:jc w:val="both"/>
        <w:rPr>
          <w:rFonts w:cs="Arial"/>
          <w:color w:val="auto"/>
          <w:szCs w:val="20"/>
        </w:rPr>
      </w:pPr>
      <w:r w:rsidRPr="00EB0EBC">
        <w:rPr>
          <w:rFonts w:cs="Arial"/>
          <w:color w:val="auto"/>
          <w:szCs w:val="20"/>
        </w:rPr>
        <w:t>14.4.</w:t>
      </w:r>
      <w:r w:rsidRPr="00EB0EBC">
        <w:rPr>
          <w:rFonts w:cs="Arial"/>
          <w:b/>
          <w:bCs/>
          <w:color w:val="auto"/>
          <w:szCs w:val="20"/>
        </w:rPr>
        <w:t xml:space="preserve"> </w:t>
      </w:r>
      <w:r w:rsidRPr="00EB0EBC">
        <w:rPr>
          <w:rFonts w:cs="Arial"/>
          <w:b/>
          <w:bCs/>
          <w:color w:val="auto"/>
          <w:szCs w:val="20"/>
          <w:u w:val="single"/>
        </w:rPr>
        <w:t>Effects of Termination (For Cause or Convenience) or Expiration</w:t>
      </w:r>
      <w:r w:rsidRPr="00EB0EBC">
        <w:rPr>
          <w:rFonts w:cs="Arial"/>
          <w:color w:val="auto"/>
          <w:szCs w:val="20"/>
        </w:rPr>
        <w:t xml:space="preserve">. Upon termination or natural expiration of this Contract / Order: </w:t>
      </w:r>
    </w:p>
    <w:p w14:paraId="4687B03B" w14:textId="77777777" w:rsidR="008D64B0" w:rsidRPr="00EB0EBC" w:rsidRDefault="008D64B0" w:rsidP="008D64B0">
      <w:pPr>
        <w:ind w:left="567" w:hanging="387"/>
        <w:jc w:val="both"/>
        <w:rPr>
          <w:rFonts w:cs="Arial"/>
          <w:color w:val="auto"/>
          <w:szCs w:val="20"/>
        </w:rPr>
      </w:pPr>
    </w:p>
    <w:p w14:paraId="5E80A804" w14:textId="77777777" w:rsidR="008D64B0" w:rsidRPr="00EB0EBC" w:rsidRDefault="008D64B0" w:rsidP="008D64B0">
      <w:pPr>
        <w:pStyle w:val="ListParagraph"/>
        <w:numPr>
          <w:ilvl w:val="0"/>
          <w:numId w:val="31"/>
        </w:numPr>
        <w:ind w:left="993" w:hanging="426"/>
        <w:jc w:val="both"/>
        <w:rPr>
          <w:rFonts w:ascii="Arial" w:hAnsi="Arial" w:cs="Arial"/>
          <w:sz w:val="20"/>
          <w:szCs w:val="20"/>
        </w:rPr>
      </w:pPr>
      <w:r w:rsidRPr="00EB0EBC">
        <w:rPr>
          <w:rFonts w:ascii="Arial" w:hAnsi="Arial" w:cs="Arial"/>
          <w:sz w:val="20"/>
          <w:szCs w:val="20"/>
        </w:rPr>
        <w:t xml:space="preserve">Client agrees to immediately pay any amounts outstanding or otherwise due or payable to Hexagon for any reason; </w:t>
      </w:r>
    </w:p>
    <w:p w14:paraId="08BA8077" w14:textId="77777777" w:rsidR="008D64B0" w:rsidRPr="00EB0EBC" w:rsidRDefault="008D64B0" w:rsidP="008D64B0">
      <w:pPr>
        <w:pStyle w:val="ListParagraph"/>
        <w:ind w:left="993" w:hanging="426"/>
        <w:jc w:val="both"/>
        <w:rPr>
          <w:rFonts w:ascii="Arial" w:hAnsi="Arial" w:cs="Arial"/>
          <w:sz w:val="20"/>
          <w:szCs w:val="20"/>
        </w:rPr>
      </w:pPr>
    </w:p>
    <w:p w14:paraId="75DF14FE" w14:textId="77777777" w:rsidR="008D64B0" w:rsidRPr="00EB0EBC" w:rsidRDefault="008D64B0" w:rsidP="008D64B0">
      <w:pPr>
        <w:pStyle w:val="ListParagraph"/>
        <w:numPr>
          <w:ilvl w:val="0"/>
          <w:numId w:val="31"/>
        </w:numPr>
        <w:ind w:left="993" w:hanging="426"/>
        <w:jc w:val="both"/>
        <w:rPr>
          <w:rFonts w:ascii="Arial" w:hAnsi="Arial" w:cs="Arial"/>
          <w:sz w:val="20"/>
          <w:szCs w:val="20"/>
        </w:rPr>
      </w:pPr>
      <w:r w:rsidRPr="00EB0EBC">
        <w:rPr>
          <w:rFonts w:ascii="Arial" w:hAnsi="Arial" w:cs="Arial"/>
          <w:sz w:val="20"/>
          <w:szCs w:val="20"/>
        </w:rPr>
        <w:t>Should termination occur due to breach by Client, the License shall be revoked;</w:t>
      </w:r>
    </w:p>
    <w:p w14:paraId="0A354438" w14:textId="77777777" w:rsidR="008D64B0" w:rsidRPr="00EB0EBC" w:rsidRDefault="008D64B0" w:rsidP="008D64B0">
      <w:pPr>
        <w:pStyle w:val="ListParagraph"/>
        <w:ind w:left="993" w:hanging="426"/>
        <w:rPr>
          <w:rFonts w:ascii="Arial" w:hAnsi="Arial" w:cs="Arial"/>
          <w:sz w:val="20"/>
          <w:szCs w:val="20"/>
        </w:rPr>
      </w:pPr>
    </w:p>
    <w:p w14:paraId="3886DA35" w14:textId="77777777" w:rsidR="008D64B0" w:rsidRPr="00EB0EBC" w:rsidRDefault="008D64B0" w:rsidP="008D64B0">
      <w:pPr>
        <w:pStyle w:val="ListParagraph"/>
        <w:numPr>
          <w:ilvl w:val="0"/>
          <w:numId w:val="31"/>
        </w:numPr>
        <w:ind w:left="993" w:hanging="426"/>
        <w:jc w:val="both"/>
        <w:rPr>
          <w:rFonts w:ascii="Arial" w:hAnsi="Arial" w:cs="Arial"/>
          <w:sz w:val="20"/>
          <w:szCs w:val="20"/>
        </w:rPr>
      </w:pPr>
      <w:r w:rsidRPr="00EB0EBC">
        <w:rPr>
          <w:rFonts w:ascii="Arial" w:hAnsi="Arial" w:cs="Arial"/>
          <w:sz w:val="20"/>
          <w:szCs w:val="20"/>
        </w:rPr>
        <w:t>Where Client terminates a Subscription, Client must immediately discontinue all use of the subscribed Hexagon Software licenses and/or Hardware units;</w:t>
      </w:r>
    </w:p>
    <w:p w14:paraId="286DF022" w14:textId="77777777" w:rsidR="008D64B0" w:rsidRPr="00EB0EBC" w:rsidRDefault="008D64B0" w:rsidP="008D64B0">
      <w:pPr>
        <w:pStyle w:val="ListParagraph"/>
        <w:ind w:left="993" w:hanging="426"/>
        <w:rPr>
          <w:rFonts w:ascii="Arial" w:hAnsi="Arial" w:cs="Arial"/>
          <w:sz w:val="20"/>
          <w:szCs w:val="20"/>
        </w:rPr>
      </w:pPr>
    </w:p>
    <w:p w14:paraId="1CA209C4" w14:textId="77777777" w:rsidR="008D64B0" w:rsidRPr="00EB0EBC" w:rsidRDefault="008D64B0" w:rsidP="008D64B0">
      <w:pPr>
        <w:pStyle w:val="ListParagraph"/>
        <w:numPr>
          <w:ilvl w:val="0"/>
          <w:numId w:val="31"/>
        </w:numPr>
        <w:ind w:left="993" w:hanging="426"/>
        <w:jc w:val="both"/>
        <w:rPr>
          <w:rFonts w:ascii="Arial" w:hAnsi="Arial" w:cs="Arial"/>
          <w:sz w:val="20"/>
          <w:szCs w:val="20"/>
        </w:rPr>
      </w:pPr>
      <w:r w:rsidRPr="00EB0EBC">
        <w:rPr>
          <w:rFonts w:ascii="Arial" w:hAnsi="Arial" w:cs="Arial"/>
          <w:sz w:val="20"/>
          <w:szCs w:val="20"/>
        </w:rPr>
        <w:t>If supplied under a Subscription Contract, Client shall, within five (5) business days of any such termination or expiration, pay for any costs related to the demobilization of Hexagon’s personnel from Client’s site and return to Hexagon all related materials (e.g., media, hardware keys, license keys, license files, Product manuals, training booklets, etc.). Client shall also cease to use the Software and Hardware and destroy or return all copies of the Software, return all Hardware items and related materials (e.g., media, hardware keys, license keys, license files, etc.) and all copies thereof that are under Client’s possession.</w:t>
      </w:r>
      <w:r w:rsidRPr="00EB0EBC">
        <w:rPr>
          <w:rFonts w:ascii="Arial" w:eastAsia="Times New Roman" w:hAnsi="Arial" w:cs="Arial"/>
          <w:sz w:val="20"/>
          <w:szCs w:val="20"/>
        </w:rPr>
        <w:t xml:space="preserve"> </w:t>
      </w:r>
      <w:r w:rsidRPr="00EB0EBC">
        <w:rPr>
          <w:rFonts w:ascii="Arial" w:hAnsi="Arial" w:cs="Arial"/>
          <w:sz w:val="20"/>
          <w:szCs w:val="20"/>
        </w:rPr>
        <w:t xml:space="preserve">All returned items must be in good working condition, normal wear and tear allowed, and suitably packaged and shipped to avoid any damage or loss during transit. Client assumes all liability for any loss or damage to such items during shipment until such items reach Hexagon’s premises. </w:t>
      </w:r>
      <w:r w:rsidRPr="00EB0EBC">
        <w:rPr>
          <w:rFonts w:ascii="Arial" w:eastAsia="Times New Roman" w:hAnsi="Arial" w:cs="Arial"/>
          <w:sz w:val="20"/>
          <w:szCs w:val="20"/>
        </w:rPr>
        <w:t xml:space="preserve">Any costs and expenses associated with the destruction or return of Hexagon’s Products shall be borne by Client. </w:t>
      </w:r>
    </w:p>
    <w:p w14:paraId="0F5D6DA3" w14:textId="77777777" w:rsidR="008D64B0" w:rsidRPr="00EB0EBC" w:rsidRDefault="008D64B0" w:rsidP="008D64B0">
      <w:pPr>
        <w:pStyle w:val="ListParagraph"/>
        <w:ind w:left="993" w:hanging="426"/>
        <w:rPr>
          <w:rFonts w:ascii="Arial" w:hAnsi="Arial" w:cs="Arial"/>
          <w:sz w:val="20"/>
          <w:szCs w:val="20"/>
        </w:rPr>
      </w:pPr>
    </w:p>
    <w:p w14:paraId="0E43B9FE" w14:textId="77777777" w:rsidR="008D64B0" w:rsidRPr="00EB0EBC" w:rsidRDefault="008D64B0" w:rsidP="008D64B0">
      <w:pPr>
        <w:pStyle w:val="ListParagraph"/>
        <w:numPr>
          <w:ilvl w:val="0"/>
          <w:numId w:val="31"/>
        </w:numPr>
        <w:ind w:left="993" w:hanging="426"/>
        <w:jc w:val="both"/>
        <w:rPr>
          <w:rFonts w:ascii="Arial" w:hAnsi="Arial" w:cs="Arial"/>
          <w:sz w:val="20"/>
          <w:szCs w:val="20"/>
        </w:rPr>
      </w:pPr>
      <w:r w:rsidRPr="00EB0EBC">
        <w:rPr>
          <w:rFonts w:ascii="Arial" w:hAnsi="Arial" w:cs="Arial"/>
          <w:sz w:val="20"/>
          <w:szCs w:val="20"/>
        </w:rPr>
        <w:t>Termination, suspension or expiry of this Contract shall not affect any rights accrued by a Party prior to the termination, suspension or expiry.</w:t>
      </w:r>
    </w:p>
    <w:p w14:paraId="57430C74" w14:textId="77777777" w:rsidR="008D64B0" w:rsidRPr="00EB0EBC" w:rsidRDefault="008D64B0" w:rsidP="008D64B0">
      <w:pPr>
        <w:pStyle w:val="ListParagraph"/>
        <w:ind w:left="993" w:hanging="426"/>
        <w:rPr>
          <w:rFonts w:ascii="Arial" w:hAnsi="Arial" w:cs="Arial"/>
          <w:sz w:val="20"/>
          <w:szCs w:val="20"/>
        </w:rPr>
      </w:pPr>
    </w:p>
    <w:p w14:paraId="4241AD69" w14:textId="261A2E1B" w:rsidR="008D64B0" w:rsidRPr="00EB0EBC" w:rsidRDefault="008D64B0" w:rsidP="008D64B0">
      <w:pPr>
        <w:pStyle w:val="ListParagraph"/>
        <w:numPr>
          <w:ilvl w:val="0"/>
          <w:numId w:val="31"/>
        </w:numPr>
        <w:ind w:left="993" w:hanging="426"/>
        <w:jc w:val="both"/>
        <w:rPr>
          <w:rFonts w:ascii="Arial" w:hAnsi="Arial" w:cs="Arial"/>
          <w:sz w:val="20"/>
          <w:szCs w:val="20"/>
        </w:rPr>
      </w:pPr>
      <w:r w:rsidRPr="00EB0EBC">
        <w:rPr>
          <w:rFonts w:ascii="Arial" w:hAnsi="Arial" w:cs="Arial"/>
          <w:sz w:val="20"/>
          <w:szCs w:val="20"/>
        </w:rPr>
        <w:t>The relevant terms of the Contract pertaining to liability, export, and protection of data and intellectual property rights remain permanently binding on the parties to the Contract.</w:t>
      </w:r>
    </w:p>
    <w:p w14:paraId="7EC02F88" w14:textId="77777777" w:rsidR="008D64B0" w:rsidRPr="00EB0EBC" w:rsidRDefault="008D64B0" w:rsidP="008D64B0">
      <w:pPr>
        <w:pStyle w:val="ListParagraph"/>
        <w:rPr>
          <w:rFonts w:ascii="Arial" w:hAnsi="Arial" w:cs="Arial"/>
          <w:sz w:val="20"/>
          <w:szCs w:val="20"/>
        </w:rPr>
      </w:pPr>
    </w:p>
    <w:p w14:paraId="556780AC" w14:textId="77777777" w:rsidR="008D64B0" w:rsidRPr="00EB0EBC" w:rsidRDefault="008D64B0" w:rsidP="008D64B0">
      <w:pPr>
        <w:pStyle w:val="ListParagraph"/>
        <w:ind w:left="993"/>
        <w:jc w:val="both"/>
        <w:rPr>
          <w:rFonts w:ascii="Arial" w:hAnsi="Arial" w:cs="Arial"/>
          <w:sz w:val="20"/>
          <w:szCs w:val="20"/>
        </w:rPr>
      </w:pPr>
    </w:p>
    <w:p w14:paraId="46BA818D" w14:textId="77777777" w:rsidR="008D64B0" w:rsidRPr="00EB0EBC" w:rsidRDefault="008D64B0" w:rsidP="008D64B0">
      <w:pPr>
        <w:pStyle w:val="Doc3"/>
        <w:numPr>
          <w:ilvl w:val="0"/>
          <w:numId w:val="35"/>
        </w:numPr>
        <w:tabs>
          <w:tab w:val="clear" w:pos="709"/>
          <w:tab w:val="left" w:pos="360"/>
        </w:tabs>
        <w:jc w:val="both"/>
        <w:rPr>
          <w:sz w:val="20"/>
          <w:szCs w:val="20"/>
        </w:rPr>
      </w:pPr>
      <w:r w:rsidRPr="00EB0EBC">
        <w:rPr>
          <w:b/>
          <w:bCs/>
          <w:sz w:val="20"/>
          <w:szCs w:val="20"/>
          <w:u w:val="single"/>
        </w:rPr>
        <w:t>Refunds</w:t>
      </w:r>
      <w:r w:rsidRPr="00EB0EBC">
        <w:rPr>
          <w:sz w:val="20"/>
          <w:szCs w:val="20"/>
        </w:rPr>
        <w:t>.</w:t>
      </w:r>
    </w:p>
    <w:p w14:paraId="7C08D968" w14:textId="77777777" w:rsidR="008D64B0" w:rsidRPr="00EB0EBC" w:rsidRDefault="008D64B0" w:rsidP="008D64B0">
      <w:pPr>
        <w:pStyle w:val="Doc3"/>
        <w:numPr>
          <w:ilvl w:val="0"/>
          <w:numId w:val="0"/>
        </w:numPr>
        <w:tabs>
          <w:tab w:val="clear" w:pos="709"/>
          <w:tab w:val="left" w:pos="360"/>
        </w:tabs>
        <w:ind w:left="450"/>
        <w:jc w:val="both"/>
        <w:rPr>
          <w:sz w:val="20"/>
          <w:szCs w:val="20"/>
        </w:rPr>
      </w:pPr>
      <w:r w:rsidRPr="00EB0EBC">
        <w:rPr>
          <w:sz w:val="20"/>
          <w:szCs w:val="20"/>
        </w:rPr>
        <w:t xml:space="preserve"> </w:t>
      </w:r>
    </w:p>
    <w:p w14:paraId="7A896D27" w14:textId="77777777" w:rsidR="008D64B0" w:rsidRPr="00EB0EBC" w:rsidRDefault="008D64B0" w:rsidP="008D64B0">
      <w:pPr>
        <w:pStyle w:val="Doc3"/>
        <w:numPr>
          <w:ilvl w:val="1"/>
          <w:numId w:val="37"/>
        </w:numPr>
        <w:tabs>
          <w:tab w:val="clear" w:pos="709"/>
          <w:tab w:val="left" w:pos="360"/>
        </w:tabs>
        <w:ind w:left="567" w:hanging="387"/>
        <w:jc w:val="both"/>
        <w:rPr>
          <w:sz w:val="20"/>
          <w:szCs w:val="20"/>
        </w:rPr>
      </w:pPr>
      <w:r w:rsidRPr="00EB0EBC">
        <w:rPr>
          <w:b/>
          <w:bCs/>
          <w:sz w:val="20"/>
          <w:szCs w:val="20"/>
        </w:rPr>
        <w:lastRenderedPageBreak/>
        <w:t xml:space="preserve"> Software.</w:t>
      </w:r>
      <w:r w:rsidRPr="00EB0EBC">
        <w:rPr>
          <w:sz w:val="20"/>
          <w:szCs w:val="20"/>
        </w:rPr>
        <w:t xml:space="preserve"> Software license fees under a Purchase or a Subscription Contract are not refundable, whether the Contract is terminated for cause or convenience.</w:t>
      </w:r>
    </w:p>
    <w:p w14:paraId="052D7379" w14:textId="77777777" w:rsidR="008D64B0" w:rsidRPr="00EB0EBC" w:rsidRDefault="008D64B0" w:rsidP="008D64B0">
      <w:pPr>
        <w:pStyle w:val="Doc3"/>
        <w:numPr>
          <w:ilvl w:val="0"/>
          <w:numId w:val="0"/>
        </w:numPr>
        <w:tabs>
          <w:tab w:val="clear" w:pos="709"/>
          <w:tab w:val="left" w:pos="360"/>
        </w:tabs>
        <w:ind w:left="567" w:hanging="387"/>
        <w:jc w:val="both"/>
        <w:rPr>
          <w:sz w:val="20"/>
          <w:szCs w:val="20"/>
        </w:rPr>
      </w:pPr>
    </w:p>
    <w:p w14:paraId="3BB397A3" w14:textId="77777777" w:rsidR="008D64B0" w:rsidRPr="00EB0EBC" w:rsidRDefault="008D64B0" w:rsidP="008D64B0">
      <w:pPr>
        <w:pStyle w:val="Doc3"/>
        <w:numPr>
          <w:ilvl w:val="1"/>
          <w:numId w:val="37"/>
        </w:numPr>
        <w:tabs>
          <w:tab w:val="clear" w:pos="709"/>
          <w:tab w:val="left" w:pos="360"/>
        </w:tabs>
        <w:ind w:left="567" w:hanging="387"/>
        <w:jc w:val="both"/>
        <w:rPr>
          <w:sz w:val="20"/>
          <w:szCs w:val="20"/>
        </w:rPr>
      </w:pPr>
      <w:r w:rsidRPr="00EB0EBC">
        <w:rPr>
          <w:b/>
          <w:bCs/>
          <w:sz w:val="20"/>
          <w:szCs w:val="20"/>
        </w:rPr>
        <w:t>Hardware.</w:t>
      </w:r>
      <w:r w:rsidRPr="00EB0EBC">
        <w:rPr>
          <w:sz w:val="20"/>
          <w:szCs w:val="20"/>
        </w:rPr>
        <w:t xml:space="preserve"> Hardware fees under a Purchase or a Subscription Contract or Order are not refundable, unless Hexagon is unable to repair or replace the defective Hardware, pursuant to the provisions set out in Sections 5.2 (A), (B) and 8.3 of Appendix B.  </w:t>
      </w:r>
    </w:p>
    <w:p w14:paraId="73CD2845" w14:textId="77777777" w:rsidR="008D64B0" w:rsidRPr="00EB0EBC" w:rsidRDefault="008D64B0" w:rsidP="008D64B0">
      <w:pPr>
        <w:pStyle w:val="Doc3"/>
        <w:numPr>
          <w:ilvl w:val="0"/>
          <w:numId w:val="0"/>
        </w:numPr>
        <w:tabs>
          <w:tab w:val="clear" w:pos="709"/>
          <w:tab w:val="left" w:pos="360"/>
        </w:tabs>
        <w:ind w:left="567" w:hanging="387"/>
        <w:jc w:val="both"/>
        <w:rPr>
          <w:sz w:val="20"/>
          <w:szCs w:val="20"/>
        </w:rPr>
      </w:pPr>
    </w:p>
    <w:p w14:paraId="208EDA07" w14:textId="77777777" w:rsidR="008D64B0" w:rsidRPr="00EB0EBC" w:rsidRDefault="008D64B0" w:rsidP="008D64B0">
      <w:pPr>
        <w:pStyle w:val="Doc3"/>
        <w:numPr>
          <w:ilvl w:val="1"/>
          <w:numId w:val="37"/>
        </w:numPr>
        <w:tabs>
          <w:tab w:val="clear" w:pos="709"/>
          <w:tab w:val="left" w:pos="360"/>
        </w:tabs>
        <w:ind w:left="567" w:hanging="387"/>
        <w:jc w:val="both"/>
        <w:rPr>
          <w:sz w:val="20"/>
          <w:szCs w:val="20"/>
        </w:rPr>
      </w:pPr>
      <w:r w:rsidRPr="00EB0EBC">
        <w:rPr>
          <w:b/>
          <w:bCs/>
          <w:sz w:val="20"/>
          <w:szCs w:val="20"/>
        </w:rPr>
        <w:t>Services.</w:t>
      </w:r>
      <w:r w:rsidRPr="00EB0EBC">
        <w:rPr>
          <w:sz w:val="20"/>
          <w:szCs w:val="20"/>
        </w:rPr>
        <w:t xml:space="preserve"> Services fees are not refundable, unless Hexagon is unable to remedy the defective Services, pursuant to the provisions set out in Sections 12.3 (A), (B) and 15.2 of Appendix C.</w:t>
      </w:r>
    </w:p>
    <w:p w14:paraId="234EF4DE" w14:textId="77777777" w:rsidR="008D64B0" w:rsidRPr="00EB0EBC" w:rsidRDefault="008D64B0" w:rsidP="008D64B0">
      <w:pPr>
        <w:pStyle w:val="ListParagraph"/>
        <w:ind w:left="567" w:hanging="387"/>
        <w:rPr>
          <w:sz w:val="20"/>
          <w:szCs w:val="20"/>
        </w:rPr>
      </w:pPr>
    </w:p>
    <w:p w14:paraId="2714B693" w14:textId="77777777" w:rsidR="008D64B0" w:rsidRPr="00EB0EBC" w:rsidRDefault="008D64B0" w:rsidP="008D64B0">
      <w:pPr>
        <w:pStyle w:val="Doc3"/>
        <w:numPr>
          <w:ilvl w:val="1"/>
          <w:numId w:val="37"/>
        </w:numPr>
        <w:tabs>
          <w:tab w:val="clear" w:pos="709"/>
          <w:tab w:val="left" w:pos="360"/>
        </w:tabs>
        <w:ind w:left="567" w:hanging="387"/>
        <w:jc w:val="both"/>
        <w:rPr>
          <w:sz w:val="20"/>
          <w:szCs w:val="20"/>
        </w:rPr>
      </w:pPr>
      <w:r w:rsidRPr="00EB0EBC">
        <w:rPr>
          <w:b/>
          <w:bCs/>
          <w:sz w:val="20"/>
          <w:szCs w:val="20"/>
          <w:lang w:val="en-US"/>
        </w:rPr>
        <w:t>Maintenance / Subscriptions.</w:t>
      </w:r>
      <w:r w:rsidRPr="00EB0EBC">
        <w:rPr>
          <w:sz w:val="20"/>
          <w:szCs w:val="20"/>
        </w:rPr>
        <w:t xml:space="preserve"> No refunds will be provided for Maintenance / Subscription fees already paid by Client for the relevant Maintenance / Subscription Period. </w:t>
      </w:r>
    </w:p>
    <w:p w14:paraId="60ACFBA5" w14:textId="77777777" w:rsidR="008D64B0" w:rsidRPr="00EB0EBC" w:rsidRDefault="008D64B0" w:rsidP="008D64B0">
      <w:pPr>
        <w:ind w:left="270"/>
        <w:jc w:val="both"/>
        <w:rPr>
          <w:rFonts w:cs="Arial"/>
          <w:color w:val="auto"/>
          <w:szCs w:val="20"/>
        </w:rPr>
      </w:pPr>
      <w:r w:rsidRPr="00EB0EBC">
        <w:rPr>
          <w:rFonts w:cs="Arial"/>
          <w:color w:val="auto"/>
          <w:szCs w:val="20"/>
        </w:rPr>
        <w:t xml:space="preserve"> </w:t>
      </w:r>
    </w:p>
    <w:p w14:paraId="673EC567" w14:textId="77777777" w:rsidR="008D64B0" w:rsidRPr="00EB0EBC" w:rsidRDefault="008D64B0" w:rsidP="008D64B0">
      <w:pPr>
        <w:rPr>
          <w:rFonts w:cs="Arial"/>
          <w:color w:val="auto"/>
          <w:szCs w:val="20"/>
        </w:rPr>
      </w:pPr>
      <w:r w:rsidRPr="00EB0EBC">
        <w:rPr>
          <w:rFonts w:cs="Arial"/>
          <w:b/>
          <w:color w:val="auto"/>
          <w:szCs w:val="20"/>
        </w:rPr>
        <w:t>16</w:t>
      </w:r>
      <w:r w:rsidRPr="00EB0EBC">
        <w:rPr>
          <w:rFonts w:cs="Arial"/>
          <w:color w:val="auto"/>
          <w:szCs w:val="20"/>
        </w:rPr>
        <w:t xml:space="preserve">. </w:t>
      </w:r>
      <w:r w:rsidRPr="00EB0EBC">
        <w:rPr>
          <w:rFonts w:cs="Arial"/>
          <w:b/>
          <w:bCs/>
          <w:color w:val="auto"/>
          <w:szCs w:val="20"/>
          <w:u w:val="single"/>
        </w:rPr>
        <w:t>Additional Terms</w:t>
      </w:r>
      <w:r w:rsidRPr="00EB0EBC">
        <w:rPr>
          <w:rFonts w:cs="Arial"/>
          <w:color w:val="auto"/>
          <w:szCs w:val="20"/>
        </w:rPr>
        <w:t>.</w:t>
      </w:r>
    </w:p>
    <w:p w14:paraId="6E27DFCD" w14:textId="77777777" w:rsidR="008D64B0" w:rsidRPr="00EB0EBC" w:rsidRDefault="008D64B0" w:rsidP="008D64B0">
      <w:pPr>
        <w:ind w:left="180"/>
        <w:jc w:val="both"/>
        <w:rPr>
          <w:rFonts w:cs="Arial"/>
          <w:color w:val="auto"/>
          <w:szCs w:val="20"/>
        </w:rPr>
      </w:pPr>
    </w:p>
    <w:p w14:paraId="0AC19E15" w14:textId="77777777" w:rsidR="008D64B0" w:rsidRPr="00EB0EBC" w:rsidRDefault="008D64B0" w:rsidP="008D64B0">
      <w:pPr>
        <w:ind w:left="567" w:hanging="387"/>
        <w:jc w:val="both"/>
        <w:rPr>
          <w:rFonts w:cs="Arial"/>
          <w:color w:val="auto"/>
          <w:szCs w:val="20"/>
        </w:rPr>
      </w:pPr>
      <w:r w:rsidRPr="00EB0EBC">
        <w:rPr>
          <w:rFonts w:cs="Arial"/>
          <w:color w:val="auto"/>
          <w:szCs w:val="20"/>
        </w:rPr>
        <w:t xml:space="preserve">16.1. </w:t>
      </w:r>
      <w:r w:rsidRPr="00EB0EBC">
        <w:rPr>
          <w:rFonts w:cs="Arial"/>
          <w:b/>
          <w:bCs/>
          <w:color w:val="auto"/>
          <w:szCs w:val="20"/>
          <w:u w:val="single"/>
        </w:rPr>
        <w:t>Integration</w:t>
      </w:r>
      <w:r w:rsidRPr="00EB0EBC">
        <w:rPr>
          <w:rFonts w:cs="Arial"/>
          <w:color w:val="auto"/>
          <w:szCs w:val="20"/>
        </w:rPr>
        <w:t xml:space="preserve">. No additional or conflicting terms from any other source, such as Client’s purchase order forms or other documents, correspondence, or pre-printed terms and conditions that may be exchanged between the parties (except these General Terms and Conditions and its applicable Appendices) apply to this Contract. This Contract supersedes and cancels all previous agreements, communications, and negotiations, among the parties, written and oral, with respect to its subject matter. </w:t>
      </w:r>
    </w:p>
    <w:p w14:paraId="40DA409A" w14:textId="77777777" w:rsidR="008D64B0" w:rsidRPr="00EB0EBC" w:rsidRDefault="008D64B0" w:rsidP="008D64B0">
      <w:pPr>
        <w:ind w:left="567" w:hanging="387"/>
        <w:jc w:val="both"/>
        <w:rPr>
          <w:rFonts w:cs="Arial"/>
          <w:color w:val="auto"/>
          <w:szCs w:val="20"/>
        </w:rPr>
      </w:pPr>
    </w:p>
    <w:p w14:paraId="0FED3DE6" w14:textId="77777777" w:rsidR="008D64B0" w:rsidRPr="00EB0EBC" w:rsidRDefault="008D64B0" w:rsidP="008D64B0">
      <w:pPr>
        <w:ind w:left="567" w:hanging="387"/>
        <w:jc w:val="both"/>
        <w:rPr>
          <w:rFonts w:cs="Arial"/>
          <w:color w:val="auto"/>
          <w:szCs w:val="20"/>
        </w:rPr>
      </w:pPr>
      <w:r w:rsidRPr="00EB0EBC">
        <w:rPr>
          <w:rFonts w:cs="Arial"/>
          <w:color w:val="auto"/>
          <w:szCs w:val="20"/>
        </w:rPr>
        <w:t xml:space="preserve">16.2. </w:t>
      </w:r>
      <w:r w:rsidRPr="00EB0EBC">
        <w:rPr>
          <w:rFonts w:cs="Arial"/>
          <w:b/>
          <w:bCs/>
          <w:color w:val="auto"/>
          <w:szCs w:val="20"/>
          <w:u w:val="single"/>
        </w:rPr>
        <w:t>Amendments and Modifications</w:t>
      </w:r>
      <w:r w:rsidRPr="00EB0EBC">
        <w:rPr>
          <w:rFonts w:cs="Arial"/>
          <w:color w:val="auto"/>
          <w:szCs w:val="20"/>
        </w:rPr>
        <w:t xml:space="preserve">. Any amendments, modifications, or other changes to this Contract, including changes under any Order and changes to any scope of Products, must be in writing and agreed by both parties to be valid and binding. </w:t>
      </w:r>
    </w:p>
    <w:p w14:paraId="1B6C4DE4" w14:textId="77777777" w:rsidR="008D64B0" w:rsidRPr="00EB0EBC" w:rsidRDefault="008D64B0" w:rsidP="008D64B0">
      <w:pPr>
        <w:ind w:left="567" w:hanging="387"/>
        <w:jc w:val="both"/>
        <w:rPr>
          <w:rFonts w:cs="Arial"/>
          <w:color w:val="auto"/>
          <w:szCs w:val="20"/>
        </w:rPr>
      </w:pPr>
    </w:p>
    <w:p w14:paraId="24F4D32F" w14:textId="77777777" w:rsidR="008D64B0" w:rsidRPr="00EB0EBC" w:rsidRDefault="008D64B0" w:rsidP="008D64B0">
      <w:pPr>
        <w:ind w:left="567" w:hanging="387"/>
        <w:jc w:val="both"/>
        <w:rPr>
          <w:rFonts w:cs="Arial"/>
          <w:color w:val="auto"/>
          <w:szCs w:val="20"/>
        </w:rPr>
      </w:pPr>
      <w:r w:rsidRPr="00EB0EBC">
        <w:rPr>
          <w:rFonts w:cs="Arial"/>
          <w:color w:val="auto"/>
          <w:szCs w:val="20"/>
        </w:rPr>
        <w:t xml:space="preserve">16.3. </w:t>
      </w:r>
      <w:r w:rsidRPr="00EB0EBC">
        <w:rPr>
          <w:rFonts w:cs="Arial"/>
          <w:b/>
          <w:bCs/>
          <w:color w:val="auto"/>
          <w:szCs w:val="20"/>
          <w:u w:val="single"/>
        </w:rPr>
        <w:t>Severability</w:t>
      </w:r>
      <w:r w:rsidRPr="00EB0EBC">
        <w:rPr>
          <w:rFonts w:cs="Arial"/>
          <w:color w:val="auto"/>
          <w:szCs w:val="20"/>
        </w:rPr>
        <w:t xml:space="preserve">. If any provision of the Contract is determined to be invalid or unenforceable, such determination will not render the entire Contract unenforceable or invalid, but rather the Contract will be read and construed, solely with respect to the affected jurisdiction, as if the invalid or unenforceable provision is not contained therein or to the extent possible to conform to the original intent of the parties, and the rights and obligations of the parties will be construed and enforced accordingly. </w:t>
      </w:r>
    </w:p>
    <w:p w14:paraId="5F56841E" w14:textId="77777777" w:rsidR="008D64B0" w:rsidRPr="00EB0EBC" w:rsidRDefault="008D64B0" w:rsidP="008D64B0">
      <w:pPr>
        <w:ind w:left="567" w:hanging="387"/>
        <w:jc w:val="both"/>
        <w:rPr>
          <w:rFonts w:cs="Arial"/>
          <w:color w:val="auto"/>
          <w:szCs w:val="20"/>
        </w:rPr>
      </w:pPr>
    </w:p>
    <w:p w14:paraId="15176F22" w14:textId="77777777" w:rsidR="008D64B0" w:rsidRPr="00EB0EBC" w:rsidRDefault="008D64B0" w:rsidP="008D64B0">
      <w:pPr>
        <w:ind w:left="567" w:hanging="387"/>
        <w:jc w:val="both"/>
        <w:rPr>
          <w:rFonts w:cs="Arial"/>
          <w:color w:val="auto"/>
          <w:szCs w:val="20"/>
        </w:rPr>
      </w:pPr>
      <w:r w:rsidRPr="00EB0EBC">
        <w:rPr>
          <w:rFonts w:cs="Arial"/>
          <w:color w:val="auto"/>
          <w:szCs w:val="20"/>
        </w:rPr>
        <w:t xml:space="preserve">16.4. </w:t>
      </w:r>
      <w:r w:rsidRPr="00EB0EBC">
        <w:rPr>
          <w:rFonts w:cs="Arial"/>
          <w:b/>
          <w:bCs/>
          <w:color w:val="auto"/>
          <w:szCs w:val="20"/>
          <w:u w:val="single"/>
        </w:rPr>
        <w:t>Waiver</w:t>
      </w:r>
      <w:r w:rsidRPr="00EB0EBC">
        <w:rPr>
          <w:rFonts w:cs="Arial"/>
          <w:color w:val="auto"/>
          <w:szCs w:val="20"/>
        </w:rPr>
        <w:t xml:space="preserve">. No right of either party will be waived except by notice in writing signed by each party. Any failure by either party to enforce any clause of this Contract, or any forbearance, delay or indulgence granted by one of the parties will not be construed as a continuing waiver of that party’s rights under the Contract. </w:t>
      </w:r>
    </w:p>
    <w:p w14:paraId="3F0F24F9" w14:textId="77777777" w:rsidR="008D64B0" w:rsidRPr="00EB0EBC" w:rsidRDefault="008D64B0" w:rsidP="008D64B0">
      <w:pPr>
        <w:ind w:left="567" w:hanging="387"/>
        <w:jc w:val="both"/>
        <w:rPr>
          <w:rFonts w:cs="Arial"/>
          <w:color w:val="auto"/>
          <w:szCs w:val="20"/>
        </w:rPr>
      </w:pPr>
    </w:p>
    <w:p w14:paraId="430A3215" w14:textId="77777777" w:rsidR="008D64B0" w:rsidRPr="00EB0EBC" w:rsidRDefault="008D64B0" w:rsidP="008D64B0">
      <w:pPr>
        <w:ind w:left="567" w:hanging="387"/>
        <w:jc w:val="both"/>
        <w:rPr>
          <w:rFonts w:cs="Arial"/>
          <w:color w:val="auto"/>
          <w:szCs w:val="20"/>
        </w:rPr>
      </w:pPr>
      <w:r w:rsidRPr="00EB0EBC">
        <w:rPr>
          <w:rFonts w:cs="Arial"/>
          <w:color w:val="auto"/>
          <w:szCs w:val="20"/>
        </w:rPr>
        <w:t xml:space="preserve">16.5. </w:t>
      </w:r>
      <w:r w:rsidRPr="00EB0EBC">
        <w:rPr>
          <w:rFonts w:cs="Arial"/>
          <w:b/>
          <w:bCs/>
          <w:color w:val="auto"/>
          <w:szCs w:val="20"/>
          <w:u w:val="single"/>
        </w:rPr>
        <w:t>Third-Party Beneficiaries</w:t>
      </w:r>
      <w:r w:rsidRPr="00EB0EBC">
        <w:rPr>
          <w:rFonts w:cs="Arial"/>
          <w:color w:val="auto"/>
          <w:szCs w:val="20"/>
        </w:rPr>
        <w:t>. Unless specifically designated in the Order, the parties do not confer any rights or remedies upon any person other than the parties to this Contract / Order and their respective successors and permitted assigns. Notwithstanding the foregoing, Hexagon Mining Inc. is an intended third-party beneficiary of this Contract with full rights to enforce any or all of the terms of this Contract. There are no other third-party beneficiaries to this Contract.</w:t>
      </w:r>
    </w:p>
    <w:p w14:paraId="7930305C" w14:textId="77777777" w:rsidR="008D64B0" w:rsidRPr="00EB0EBC" w:rsidRDefault="008D64B0" w:rsidP="008D64B0">
      <w:pPr>
        <w:ind w:left="567" w:hanging="387"/>
        <w:jc w:val="both"/>
        <w:rPr>
          <w:rFonts w:cs="Arial"/>
          <w:color w:val="auto"/>
          <w:szCs w:val="20"/>
        </w:rPr>
      </w:pPr>
    </w:p>
    <w:p w14:paraId="5236EA75" w14:textId="48BC265E" w:rsidR="008D64B0" w:rsidRPr="00EB0EBC" w:rsidRDefault="008D64B0" w:rsidP="008D64B0">
      <w:pPr>
        <w:pStyle w:val="ListParagraph"/>
        <w:ind w:left="851"/>
        <w:jc w:val="both"/>
        <w:rPr>
          <w:rFonts w:ascii="Arial" w:hAnsi="Arial" w:cs="Arial"/>
          <w:sz w:val="20"/>
          <w:szCs w:val="20"/>
        </w:rPr>
      </w:pPr>
      <w:r w:rsidRPr="00EB0EBC">
        <w:rPr>
          <w:rFonts w:ascii="Arial" w:hAnsi="Arial" w:cs="Arial"/>
          <w:sz w:val="20"/>
          <w:szCs w:val="20"/>
        </w:rPr>
        <w:t xml:space="preserve">16.6. </w:t>
      </w:r>
      <w:r w:rsidRPr="00EB0EBC">
        <w:rPr>
          <w:rFonts w:ascii="Arial" w:hAnsi="Arial" w:cs="Arial"/>
          <w:b/>
          <w:bCs/>
          <w:sz w:val="20"/>
          <w:szCs w:val="20"/>
          <w:u w:val="single"/>
        </w:rPr>
        <w:t>Assignment/Sub-Contracting</w:t>
      </w:r>
      <w:r w:rsidRPr="00EB0EBC">
        <w:rPr>
          <w:rFonts w:ascii="Arial" w:hAnsi="Arial" w:cs="Arial"/>
          <w:sz w:val="20"/>
          <w:szCs w:val="20"/>
        </w:rPr>
        <w:t>. Neither party will assign or subcontract any obligations or rights under the Contract without the prior written consent of the other party, such consent not to be unreasonably withheld. Any assignment or subcontracting in violation of this provision is void. Notwithstanding anything to the contrary, either party may assign its rights and obligations under the Contract to any affiliate or parent company. Written notice of such assignment will be provided in a timely manner.</w:t>
      </w:r>
    </w:p>
    <w:p w14:paraId="1B180505" w14:textId="3B106E30" w:rsidR="00ED2EDA" w:rsidRPr="00EB0EBC" w:rsidRDefault="00ED2EDA" w:rsidP="008D64B0">
      <w:pPr>
        <w:rPr>
          <w:color w:val="auto"/>
        </w:rPr>
      </w:pPr>
    </w:p>
    <w:p w14:paraId="03853EE7" w14:textId="77777777" w:rsidR="00ED2EDA" w:rsidRPr="00EB0EBC" w:rsidRDefault="00ED2EDA" w:rsidP="00ED2EDA">
      <w:pPr>
        <w:ind w:left="567" w:hanging="387"/>
        <w:jc w:val="both"/>
        <w:rPr>
          <w:rFonts w:cs="Arial"/>
          <w:color w:val="auto"/>
          <w:szCs w:val="20"/>
        </w:rPr>
      </w:pPr>
      <w:r w:rsidRPr="00EB0EBC">
        <w:rPr>
          <w:rFonts w:cs="Arial"/>
          <w:color w:val="auto"/>
          <w:szCs w:val="20"/>
        </w:rPr>
        <w:t xml:space="preserve">16.7. </w:t>
      </w:r>
      <w:r w:rsidRPr="00EB0EBC">
        <w:rPr>
          <w:rFonts w:cs="Arial"/>
          <w:b/>
          <w:bCs/>
          <w:color w:val="auto"/>
          <w:szCs w:val="20"/>
          <w:u w:val="single"/>
        </w:rPr>
        <w:t>Insurance</w:t>
      </w:r>
      <w:r w:rsidRPr="00EB0EBC">
        <w:rPr>
          <w:rFonts w:cs="Arial"/>
          <w:color w:val="auto"/>
          <w:szCs w:val="20"/>
        </w:rPr>
        <w:t>. Both parties will maintain in effect at all times the appropriate insurance coverage consistent with the type of supply or provisions set out in this Contract, as well as with industry standards from a reputable insurer, including as applicable, workers’ compensation, travel, comprehensive general, professional and commercial liability coverage. Upon request, Client will provide Hexagon with proof of such insurance that names Hexagon as a loss payee.</w:t>
      </w:r>
    </w:p>
    <w:p w14:paraId="29CACC3B" w14:textId="77777777" w:rsidR="00ED2EDA" w:rsidRPr="00EB0EBC" w:rsidRDefault="00ED2EDA" w:rsidP="00ED2EDA">
      <w:pPr>
        <w:ind w:left="567" w:hanging="387"/>
        <w:jc w:val="both"/>
        <w:rPr>
          <w:rFonts w:cs="Arial"/>
          <w:color w:val="auto"/>
          <w:szCs w:val="20"/>
        </w:rPr>
      </w:pPr>
    </w:p>
    <w:p w14:paraId="6409C2A2" w14:textId="77777777" w:rsidR="00ED2EDA" w:rsidRPr="00EB0EBC" w:rsidRDefault="00ED2EDA" w:rsidP="00ED2EDA">
      <w:pPr>
        <w:ind w:left="567" w:hanging="387"/>
        <w:jc w:val="both"/>
        <w:rPr>
          <w:rFonts w:cs="Arial"/>
          <w:color w:val="auto"/>
          <w:szCs w:val="20"/>
        </w:rPr>
      </w:pPr>
      <w:r w:rsidRPr="00EB0EBC">
        <w:rPr>
          <w:rFonts w:cs="Arial"/>
          <w:color w:val="auto"/>
          <w:szCs w:val="20"/>
        </w:rPr>
        <w:t xml:space="preserve">16.8. </w:t>
      </w:r>
      <w:r w:rsidRPr="00EB0EBC">
        <w:rPr>
          <w:rFonts w:cs="Arial"/>
          <w:b/>
          <w:bCs/>
          <w:color w:val="auto"/>
          <w:szCs w:val="20"/>
          <w:u w:val="single"/>
        </w:rPr>
        <w:t>Language</w:t>
      </w:r>
      <w:r w:rsidRPr="00EB0EBC">
        <w:rPr>
          <w:rFonts w:cs="Arial"/>
          <w:color w:val="auto"/>
          <w:szCs w:val="20"/>
        </w:rPr>
        <w:t xml:space="preserve">. In the event this Contract or any portion hereof is translated or otherwise available in any other language, the English language version shall control in all respects, except where the local applicable law states otherwise. </w:t>
      </w:r>
    </w:p>
    <w:p w14:paraId="657C9A77" w14:textId="77777777" w:rsidR="00ED2EDA" w:rsidRPr="00EB0EBC" w:rsidRDefault="00ED2EDA" w:rsidP="00ED2EDA">
      <w:pPr>
        <w:ind w:left="567" w:hanging="387"/>
        <w:jc w:val="both"/>
        <w:rPr>
          <w:rFonts w:cs="Arial"/>
          <w:color w:val="auto"/>
          <w:szCs w:val="20"/>
        </w:rPr>
      </w:pPr>
    </w:p>
    <w:p w14:paraId="783EAA5C" w14:textId="77777777" w:rsidR="00ED2EDA" w:rsidRPr="00EB0EBC" w:rsidRDefault="00ED2EDA" w:rsidP="00ED2EDA">
      <w:pPr>
        <w:ind w:left="567" w:hanging="387"/>
        <w:jc w:val="both"/>
        <w:rPr>
          <w:rFonts w:cs="Arial"/>
          <w:color w:val="auto"/>
          <w:szCs w:val="20"/>
        </w:rPr>
      </w:pPr>
      <w:r w:rsidRPr="00EB0EBC">
        <w:rPr>
          <w:rFonts w:cs="Arial"/>
          <w:color w:val="auto"/>
          <w:szCs w:val="20"/>
        </w:rPr>
        <w:t xml:space="preserve">16.9.  </w:t>
      </w:r>
      <w:r w:rsidRPr="00EB0EBC">
        <w:rPr>
          <w:rFonts w:cs="Arial"/>
          <w:b/>
          <w:bCs/>
          <w:color w:val="auto"/>
          <w:szCs w:val="20"/>
          <w:u w:val="single"/>
        </w:rPr>
        <w:t>Non-Solicitation</w:t>
      </w:r>
      <w:r w:rsidRPr="00EB0EBC">
        <w:rPr>
          <w:rFonts w:cs="Arial"/>
          <w:color w:val="auto"/>
          <w:szCs w:val="20"/>
        </w:rPr>
        <w:t xml:space="preserve">. During the term of this Contract and for a period of one year thereafter, Client agrees that it will not, without Hexagon’s prior written consent, directly or indirectly employ, solicit, engage, or retain the services of Hexagon personnel. If Client breaches this provision, Client is liable to Hexagon for an amount equal to thirty percent (30%) of the annual base compensation of the relevant personnel in his or her new position. Hexagon may seek injunctive or other equitable relief. This provision will not restrict the right of Client to solicit or recruit generally in the media. </w:t>
      </w:r>
    </w:p>
    <w:p w14:paraId="171A712D" w14:textId="77777777" w:rsidR="00ED2EDA" w:rsidRPr="00EB0EBC" w:rsidRDefault="00ED2EDA" w:rsidP="00ED2EDA">
      <w:pPr>
        <w:ind w:left="567" w:hanging="387"/>
        <w:jc w:val="both"/>
        <w:rPr>
          <w:rFonts w:cs="Arial"/>
          <w:color w:val="auto"/>
          <w:szCs w:val="20"/>
        </w:rPr>
      </w:pPr>
    </w:p>
    <w:p w14:paraId="6C749899" w14:textId="77777777" w:rsidR="00ED2EDA" w:rsidRPr="00EB0EBC" w:rsidRDefault="00ED2EDA" w:rsidP="00ED2EDA">
      <w:pPr>
        <w:ind w:left="567" w:hanging="387"/>
        <w:jc w:val="both"/>
        <w:rPr>
          <w:rFonts w:cs="Arial"/>
          <w:color w:val="auto"/>
          <w:szCs w:val="20"/>
        </w:rPr>
      </w:pPr>
      <w:r w:rsidRPr="00EB0EBC">
        <w:rPr>
          <w:rFonts w:cs="Arial"/>
          <w:color w:val="auto"/>
          <w:szCs w:val="20"/>
        </w:rPr>
        <w:t xml:space="preserve">16.10. </w:t>
      </w:r>
      <w:r w:rsidRPr="00EB0EBC">
        <w:rPr>
          <w:rFonts w:cs="Arial"/>
          <w:b/>
          <w:bCs/>
          <w:color w:val="auto"/>
          <w:szCs w:val="20"/>
          <w:u w:val="single"/>
        </w:rPr>
        <w:t>Survival</w:t>
      </w:r>
      <w:r w:rsidRPr="00EB0EBC">
        <w:rPr>
          <w:rFonts w:cs="Arial"/>
          <w:color w:val="auto"/>
          <w:szCs w:val="20"/>
        </w:rPr>
        <w:t xml:space="preserve">. All provisions that are intended by their nature to survive performance of this Contract will survive such performance and/or the expiration or termination of this Contract. The parties specifically agree that the relevant terms of the Contract pertaining to liability, indemnification, warranties, export, and protection of IP rights and CI remain permanently binding. </w:t>
      </w:r>
    </w:p>
    <w:p w14:paraId="500F09D6" w14:textId="77777777" w:rsidR="00ED2EDA" w:rsidRPr="00EB0EBC" w:rsidRDefault="00ED2EDA" w:rsidP="00ED2EDA">
      <w:pPr>
        <w:ind w:left="567" w:hanging="387"/>
        <w:jc w:val="both"/>
        <w:rPr>
          <w:rFonts w:cs="Arial"/>
          <w:color w:val="auto"/>
          <w:szCs w:val="20"/>
        </w:rPr>
      </w:pPr>
    </w:p>
    <w:p w14:paraId="6BF93214" w14:textId="77777777" w:rsidR="00ED2EDA" w:rsidRPr="00EB0EBC" w:rsidRDefault="00ED2EDA" w:rsidP="00ED2EDA">
      <w:pPr>
        <w:ind w:left="567" w:hanging="387"/>
        <w:jc w:val="both"/>
        <w:rPr>
          <w:rFonts w:cs="Arial"/>
          <w:color w:val="auto"/>
          <w:szCs w:val="20"/>
        </w:rPr>
      </w:pPr>
      <w:r w:rsidRPr="00EB0EBC">
        <w:rPr>
          <w:rFonts w:cs="Arial"/>
          <w:color w:val="auto"/>
          <w:szCs w:val="20"/>
        </w:rPr>
        <w:t xml:space="preserve">16.11. </w:t>
      </w:r>
      <w:r w:rsidRPr="00EB0EBC">
        <w:rPr>
          <w:rFonts w:cs="Arial"/>
          <w:b/>
          <w:bCs/>
          <w:color w:val="auto"/>
          <w:szCs w:val="20"/>
          <w:u w:val="single"/>
        </w:rPr>
        <w:t>Notices</w:t>
      </w:r>
      <w:r w:rsidRPr="00EB0EBC">
        <w:rPr>
          <w:rFonts w:cs="Arial"/>
          <w:color w:val="auto"/>
          <w:szCs w:val="20"/>
        </w:rPr>
        <w:t xml:space="preserve">. Notices under the Contract may be delivered by hand, by mail to the addresses of the parties specified in the Order, or by email to their representatives, and in the case of Hexagon with a required carbon copy to </w:t>
      </w:r>
      <w:hyperlink r:id="rId17" w:history="1">
        <w:r w:rsidRPr="00620F4D">
          <w:rPr>
            <w:rStyle w:val="Hyperlink"/>
            <w:rFonts w:cs="Arial"/>
            <w:szCs w:val="20"/>
          </w:rPr>
          <w:t>legal.min@hexagonmining.com</w:t>
        </w:r>
      </w:hyperlink>
      <w:r w:rsidRPr="005C2007">
        <w:rPr>
          <w:rFonts w:cs="Arial"/>
          <w:szCs w:val="20"/>
        </w:rPr>
        <w:t xml:space="preserve">. </w:t>
      </w:r>
      <w:r w:rsidRPr="00EB0EBC">
        <w:rPr>
          <w:rFonts w:cs="Arial"/>
          <w:color w:val="auto"/>
          <w:szCs w:val="20"/>
        </w:rPr>
        <w:t>Notice will be deemed provided, in the case of hand delivery, upon delivery, and in the case of mail, within three (3) days of deposit with the local postal services by registered or certified mail, postage prepaid, and return receipt requested, and in the case of email, when the recipient acknowledges having received that email (with a “read receipt” constituting acknowledgment of an email for purposes of this section).</w:t>
      </w:r>
    </w:p>
    <w:p w14:paraId="52031337" w14:textId="77777777" w:rsidR="00ED2EDA" w:rsidRPr="00EB0EBC" w:rsidRDefault="00ED2EDA" w:rsidP="00ED2EDA">
      <w:pPr>
        <w:ind w:left="567" w:hanging="387"/>
        <w:jc w:val="both"/>
        <w:rPr>
          <w:rFonts w:cs="Arial"/>
          <w:color w:val="auto"/>
          <w:szCs w:val="20"/>
        </w:rPr>
      </w:pPr>
    </w:p>
    <w:p w14:paraId="5B04F8D3" w14:textId="77777777" w:rsidR="00ED2EDA" w:rsidRPr="00EB0EBC" w:rsidRDefault="00ED2EDA" w:rsidP="00ED2EDA">
      <w:pPr>
        <w:ind w:left="567" w:hanging="387"/>
        <w:jc w:val="both"/>
        <w:rPr>
          <w:rFonts w:cs="Arial"/>
          <w:color w:val="auto"/>
          <w:szCs w:val="20"/>
        </w:rPr>
      </w:pPr>
      <w:r w:rsidRPr="00EB0EBC">
        <w:rPr>
          <w:rFonts w:cs="Arial"/>
          <w:color w:val="auto"/>
          <w:szCs w:val="20"/>
        </w:rPr>
        <w:t xml:space="preserve">16.12. </w:t>
      </w:r>
      <w:r w:rsidRPr="00EB0EBC">
        <w:rPr>
          <w:rFonts w:cs="Arial"/>
          <w:b/>
          <w:bCs/>
          <w:color w:val="auto"/>
          <w:szCs w:val="20"/>
          <w:u w:val="single"/>
        </w:rPr>
        <w:t>Headings</w:t>
      </w:r>
      <w:r w:rsidRPr="00EB0EBC">
        <w:rPr>
          <w:rFonts w:cs="Arial"/>
          <w:color w:val="auto"/>
          <w:szCs w:val="20"/>
        </w:rPr>
        <w:t xml:space="preserve">. </w:t>
      </w:r>
      <w:r w:rsidRPr="00EB0EBC" w:rsidDel="00913DDF">
        <w:rPr>
          <w:rFonts w:cs="Arial"/>
          <w:color w:val="auto"/>
          <w:szCs w:val="20"/>
        </w:rPr>
        <w:t>Section headings and sub-headings are for convenience only and do not define, limit, or describe the scope or intent of any provision in this Contract.</w:t>
      </w:r>
    </w:p>
    <w:p w14:paraId="68CA9A4E" w14:textId="77777777" w:rsidR="00ED2EDA" w:rsidRPr="00EB0EBC" w:rsidRDefault="00ED2EDA" w:rsidP="00ED2EDA">
      <w:pPr>
        <w:ind w:left="567" w:hanging="387"/>
        <w:jc w:val="both"/>
        <w:rPr>
          <w:rFonts w:cs="Arial"/>
          <w:color w:val="auto"/>
          <w:szCs w:val="20"/>
        </w:rPr>
      </w:pPr>
    </w:p>
    <w:p w14:paraId="3F8E9281" w14:textId="77777777" w:rsidR="00ED2EDA" w:rsidRPr="00EB0EBC" w:rsidRDefault="00ED2EDA" w:rsidP="00ED2EDA">
      <w:pPr>
        <w:ind w:left="567" w:hanging="387"/>
        <w:jc w:val="both"/>
        <w:rPr>
          <w:rFonts w:cs="Arial"/>
          <w:color w:val="auto"/>
          <w:szCs w:val="20"/>
        </w:rPr>
      </w:pPr>
      <w:r w:rsidRPr="00EB0EBC">
        <w:rPr>
          <w:rFonts w:cs="Arial"/>
          <w:color w:val="auto"/>
          <w:szCs w:val="20"/>
        </w:rPr>
        <w:t xml:space="preserve">16.13. </w:t>
      </w:r>
      <w:r w:rsidRPr="00EB0EBC">
        <w:rPr>
          <w:rFonts w:cs="Arial"/>
          <w:b/>
          <w:bCs/>
          <w:color w:val="auto"/>
          <w:szCs w:val="20"/>
          <w:u w:val="single"/>
        </w:rPr>
        <w:t>Relationship of the Parties</w:t>
      </w:r>
      <w:r w:rsidRPr="00EB0EBC">
        <w:rPr>
          <w:rFonts w:cs="Arial"/>
          <w:color w:val="auto"/>
          <w:szCs w:val="20"/>
        </w:rPr>
        <w:t>. Each Party shall at all times be an independent contractor of the other Party, and nothing in this Contract shall be construed as constituting a partnership, team, joint venture, representative, agency, or employer and employee relationship between the Parties or between any Party and any of the other Party’s respective employees or subcontractors. Neither Party shall at any time hold itself or themselves out to be the employee of the other Party, nor shall they be entitled to any of the benefits provided by the other Party to its established or unestablished officers and staff.</w:t>
      </w:r>
    </w:p>
    <w:p w14:paraId="5B97357B" w14:textId="77777777" w:rsidR="00ED2EDA" w:rsidRPr="00EB0EBC" w:rsidRDefault="00ED2EDA" w:rsidP="00ED2EDA">
      <w:pPr>
        <w:ind w:left="567" w:hanging="387"/>
        <w:jc w:val="both"/>
        <w:rPr>
          <w:rFonts w:cs="Arial"/>
          <w:color w:val="auto"/>
          <w:szCs w:val="20"/>
        </w:rPr>
      </w:pPr>
    </w:p>
    <w:p w14:paraId="52EB889F" w14:textId="77777777" w:rsidR="00ED2EDA" w:rsidRPr="00EB0EBC" w:rsidRDefault="00ED2EDA" w:rsidP="00ED2EDA">
      <w:pPr>
        <w:ind w:left="567" w:hanging="387"/>
        <w:jc w:val="both"/>
        <w:rPr>
          <w:rFonts w:cs="Arial"/>
          <w:color w:val="auto"/>
          <w:szCs w:val="20"/>
        </w:rPr>
      </w:pPr>
      <w:r w:rsidRPr="00EB0EBC">
        <w:rPr>
          <w:rFonts w:cs="Arial"/>
          <w:color w:val="auto"/>
          <w:szCs w:val="20"/>
        </w:rPr>
        <w:t xml:space="preserve">16.14. </w:t>
      </w:r>
      <w:r w:rsidRPr="00EB0EBC">
        <w:rPr>
          <w:rFonts w:cs="Arial"/>
          <w:b/>
          <w:bCs/>
          <w:color w:val="auto"/>
          <w:szCs w:val="20"/>
          <w:u w:val="single"/>
        </w:rPr>
        <w:t>Publicity</w:t>
      </w:r>
      <w:r w:rsidRPr="00EB0EBC">
        <w:rPr>
          <w:rFonts w:cs="Arial"/>
          <w:color w:val="auto"/>
          <w:szCs w:val="20"/>
        </w:rPr>
        <w:t>.  Hexagon may identify Client as a customer of Hexagon’s in Hexagon’s marketing materials and on its customer lists.</w:t>
      </w:r>
    </w:p>
    <w:p w14:paraId="30E52CE8" w14:textId="77777777" w:rsidR="00ED2EDA" w:rsidRPr="00EB0EBC" w:rsidRDefault="00ED2EDA" w:rsidP="00ED2EDA">
      <w:pPr>
        <w:ind w:left="567" w:hanging="387"/>
        <w:jc w:val="both"/>
        <w:rPr>
          <w:rFonts w:cs="Arial"/>
          <w:color w:val="auto"/>
          <w:szCs w:val="20"/>
        </w:rPr>
      </w:pPr>
    </w:p>
    <w:p w14:paraId="62F87E65" w14:textId="77777777" w:rsidR="00ED2EDA" w:rsidRPr="00EB0EBC" w:rsidRDefault="00ED2EDA" w:rsidP="00ED2EDA">
      <w:pPr>
        <w:ind w:left="567" w:hanging="387"/>
        <w:jc w:val="both"/>
        <w:rPr>
          <w:rFonts w:cs="Arial"/>
          <w:color w:val="auto"/>
          <w:szCs w:val="20"/>
        </w:rPr>
      </w:pPr>
      <w:r w:rsidRPr="00EB0EBC">
        <w:rPr>
          <w:rFonts w:cs="Arial"/>
          <w:color w:val="auto"/>
          <w:szCs w:val="20"/>
        </w:rPr>
        <w:t xml:space="preserve">16.15. </w:t>
      </w:r>
      <w:r w:rsidRPr="00EB0EBC">
        <w:rPr>
          <w:rFonts w:cs="Arial"/>
          <w:b/>
          <w:bCs/>
          <w:color w:val="auto"/>
          <w:szCs w:val="20"/>
          <w:u w:val="single"/>
        </w:rPr>
        <w:t>Usage Statistics and Client Data</w:t>
      </w:r>
      <w:r w:rsidRPr="00EB0EBC">
        <w:rPr>
          <w:rFonts w:cs="Arial"/>
          <w:color w:val="auto"/>
          <w:szCs w:val="20"/>
        </w:rPr>
        <w:t xml:space="preserve">. To enhance the Products, Hexagon may collect anonymous usage statistics and data pertaining to the use of the Products from its customers. By using the Products, Client consents to allow the collection of anonymous usage statistics and data. If Client does not consent to such data collection, Client must not access or use the Products. </w:t>
      </w:r>
    </w:p>
    <w:p w14:paraId="7215D8C8" w14:textId="77777777" w:rsidR="00ED2EDA" w:rsidRPr="00EB0EBC" w:rsidRDefault="00ED2EDA" w:rsidP="00ED2EDA">
      <w:pPr>
        <w:ind w:left="567" w:hanging="387"/>
        <w:jc w:val="both"/>
        <w:rPr>
          <w:rFonts w:cs="Arial"/>
          <w:color w:val="auto"/>
          <w:szCs w:val="20"/>
        </w:rPr>
      </w:pPr>
    </w:p>
    <w:p w14:paraId="4B2A66AB" w14:textId="77777777" w:rsidR="00ED2EDA" w:rsidRPr="00EB0EBC" w:rsidRDefault="00ED2EDA" w:rsidP="00ED2EDA">
      <w:pPr>
        <w:ind w:left="567" w:hanging="387"/>
        <w:jc w:val="both"/>
        <w:rPr>
          <w:rFonts w:cs="Arial"/>
          <w:color w:val="auto"/>
          <w:szCs w:val="20"/>
        </w:rPr>
      </w:pPr>
      <w:r w:rsidRPr="00EB0EBC">
        <w:rPr>
          <w:rFonts w:cs="Arial"/>
          <w:color w:val="auto"/>
          <w:szCs w:val="20"/>
        </w:rPr>
        <w:t xml:space="preserve">16.16 </w:t>
      </w:r>
      <w:r w:rsidRPr="00EB0EBC">
        <w:rPr>
          <w:rFonts w:cs="Arial"/>
          <w:b/>
          <w:bCs/>
          <w:color w:val="auto"/>
          <w:szCs w:val="20"/>
          <w:u w:val="single"/>
        </w:rPr>
        <w:t>Privacy and Data Protection.</w:t>
      </w:r>
      <w:r w:rsidRPr="00EB0EBC">
        <w:rPr>
          <w:rFonts w:cs="Arial"/>
          <w:color w:val="auto"/>
          <w:szCs w:val="20"/>
        </w:rPr>
        <w:t xml:space="preserve"> Each Party warrants to the other Party that it has complied with the applicable Data Protection Privacy Act in obtaining any Personal Information disclosed by it pursuant to this Contract.</w:t>
      </w:r>
    </w:p>
    <w:p w14:paraId="34B18B42" w14:textId="77777777" w:rsidR="00ED2EDA" w:rsidRPr="00EB0EBC" w:rsidRDefault="00ED2EDA" w:rsidP="00ED2EDA">
      <w:pPr>
        <w:ind w:left="567" w:hanging="387"/>
        <w:jc w:val="both"/>
        <w:rPr>
          <w:rFonts w:cs="Arial"/>
          <w:color w:val="auto"/>
          <w:szCs w:val="20"/>
        </w:rPr>
      </w:pPr>
    </w:p>
    <w:p w14:paraId="1A38345A" w14:textId="77777777" w:rsidR="00ED2EDA" w:rsidRPr="00EB0EBC" w:rsidRDefault="00ED2EDA" w:rsidP="00ED2EDA">
      <w:pPr>
        <w:ind w:left="567" w:hanging="387"/>
        <w:jc w:val="both"/>
        <w:rPr>
          <w:rFonts w:cs="Arial"/>
          <w:color w:val="auto"/>
          <w:szCs w:val="20"/>
        </w:rPr>
      </w:pPr>
      <w:r w:rsidRPr="00EB0EBC">
        <w:rPr>
          <w:rFonts w:cs="Arial"/>
          <w:color w:val="auto"/>
          <w:szCs w:val="20"/>
        </w:rPr>
        <w:t xml:space="preserve">16.17. </w:t>
      </w:r>
      <w:r w:rsidRPr="00EB0EBC">
        <w:rPr>
          <w:rFonts w:cs="Arial"/>
          <w:b/>
          <w:bCs/>
          <w:color w:val="auto"/>
          <w:szCs w:val="20"/>
          <w:u w:val="single"/>
        </w:rPr>
        <w:t>Data Retrieval Upon Termination.</w:t>
      </w:r>
      <w:r w:rsidRPr="00EB0EBC">
        <w:rPr>
          <w:rFonts w:cs="Arial"/>
          <w:color w:val="auto"/>
          <w:szCs w:val="20"/>
        </w:rPr>
        <w:t xml:space="preserve"> Client will provide written notice to Hexagon within thirty (30) days of the termination or expiration date of any electronic data Client requests from Hexagon relating to the Products. After the 30-day deadline, Hexagon reserves the right to permanently delete any and all Client-associated data. Any data delivered to Client after the 30-day deadline will be provided only on a for fee basis.</w:t>
      </w:r>
    </w:p>
    <w:p w14:paraId="793D1E35" w14:textId="77777777" w:rsidR="00ED2EDA" w:rsidRPr="00EB0EBC" w:rsidRDefault="00ED2EDA" w:rsidP="00ED2EDA">
      <w:pPr>
        <w:ind w:left="567" w:hanging="387"/>
        <w:jc w:val="both"/>
        <w:rPr>
          <w:rFonts w:cs="Arial"/>
          <w:color w:val="auto"/>
          <w:szCs w:val="20"/>
        </w:rPr>
      </w:pPr>
    </w:p>
    <w:p w14:paraId="38BCDC54" w14:textId="77777777" w:rsidR="00ED2EDA" w:rsidRPr="00EB0EBC" w:rsidRDefault="00ED2EDA" w:rsidP="00ED2EDA">
      <w:pPr>
        <w:ind w:left="567" w:hanging="387"/>
        <w:jc w:val="both"/>
        <w:rPr>
          <w:rFonts w:cs="Arial"/>
          <w:color w:val="auto"/>
          <w:szCs w:val="20"/>
        </w:rPr>
      </w:pPr>
      <w:r w:rsidRPr="00EB0EBC">
        <w:rPr>
          <w:rFonts w:cs="Arial"/>
          <w:color w:val="auto"/>
          <w:szCs w:val="20"/>
        </w:rPr>
        <w:lastRenderedPageBreak/>
        <w:t xml:space="preserve">16.18. </w:t>
      </w:r>
      <w:r w:rsidRPr="00EB0EBC">
        <w:rPr>
          <w:rFonts w:cs="Arial"/>
          <w:b/>
          <w:bCs/>
          <w:color w:val="auto"/>
          <w:szCs w:val="20"/>
          <w:u w:val="single"/>
        </w:rPr>
        <w:t>Compliance with Anti-Corruption Laws</w:t>
      </w:r>
      <w:r w:rsidRPr="00EB0EBC">
        <w:rPr>
          <w:rFonts w:cs="Arial"/>
          <w:color w:val="auto"/>
          <w:szCs w:val="20"/>
        </w:rPr>
        <w:t>. Hexagon and Client agree that they will at all times comply with all Legal requirements relating to anti-bribery, anti-corruption and anti-money laundering (and must not do anything, or omit to do anything, to cause the other party to be in breach of any such Legal requirements). In additions to the foregoing, Hexagon: (a) warrants that neither it, nor any of its affiliates, subsidiaries, representatives, officers, agents, employees or  contractors, has been convicted of any offence, and has not been the subject of any investigation or enforcement proceedings by any governmental, administrative or regulatory body regarding any offence or alleged offence, under any applicable laws, rules and regulation relating to anti-bribery, anti-corruption and anti-money laundering; and (b) shall give Client notice immediately upon becoming aware of any breach (or suspected breach) of this section.</w:t>
      </w:r>
    </w:p>
    <w:p w14:paraId="405D4CC5" w14:textId="77777777" w:rsidR="00ED2EDA" w:rsidRPr="00EB0EBC" w:rsidRDefault="00ED2EDA" w:rsidP="00ED2EDA">
      <w:pPr>
        <w:ind w:left="567" w:hanging="387"/>
        <w:jc w:val="both"/>
        <w:rPr>
          <w:rFonts w:cs="Arial"/>
          <w:color w:val="auto"/>
          <w:szCs w:val="20"/>
        </w:rPr>
      </w:pPr>
    </w:p>
    <w:p w14:paraId="5656FBA1" w14:textId="77777777" w:rsidR="00ED2EDA" w:rsidRPr="00EB0EBC" w:rsidRDefault="00ED2EDA" w:rsidP="00ED2EDA">
      <w:pPr>
        <w:ind w:left="567" w:hanging="387"/>
        <w:jc w:val="both"/>
        <w:rPr>
          <w:rFonts w:cs="Arial"/>
          <w:color w:val="auto"/>
          <w:szCs w:val="20"/>
        </w:rPr>
      </w:pPr>
      <w:r w:rsidRPr="00EB0EBC">
        <w:rPr>
          <w:rFonts w:cs="Arial"/>
          <w:color w:val="auto"/>
          <w:szCs w:val="20"/>
        </w:rPr>
        <w:t xml:space="preserve">16.19. </w:t>
      </w:r>
      <w:r w:rsidRPr="00EB0EBC">
        <w:rPr>
          <w:rFonts w:cs="Arial"/>
          <w:b/>
          <w:bCs/>
          <w:color w:val="auto"/>
          <w:szCs w:val="20"/>
          <w:u w:val="single"/>
        </w:rPr>
        <w:t>Export Restrictions</w:t>
      </w:r>
      <w:r w:rsidRPr="00EB0EBC">
        <w:rPr>
          <w:rFonts w:cs="Arial"/>
          <w:color w:val="auto"/>
          <w:szCs w:val="20"/>
        </w:rPr>
        <w:t>. The Products may be subject to United States (“</w:t>
      </w:r>
      <w:r w:rsidRPr="00EB0EBC">
        <w:rPr>
          <w:rFonts w:cs="Arial"/>
          <w:b/>
          <w:bCs/>
          <w:color w:val="auto"/>
          <w:szCs w:val="20"/>
        </w:rPr>
        <w:t>U.S.</w:t>
      </w:r>
      <w:r w:rsidRPr="00EB0EBC">
        <w:rPr>
          <w:rFonts w:cs="Arial"/>
          <w:color w:val="auto"/>
          <w:szCs w:val="20"/>
        </w:rPr>
        <w:t>”) regulations, orders or other restrictions as well as to the regulations, orders and restrictions applicable to the country where the relevant Hexagon entity is located regarding export of software, hardware, services, technical data or derivatives thereof. Notwithstanding anything else in this Contract to the contrary, Client shall not directly or indirectly export (or re-export) Hexagon’s Products or any derivatives thereof, or permit transhipment of same, (</w:t>
      </w:r>
      <w:proofErr w:type="spellStart"/>
      <w:r w:rsidRPr="00EB0EBC">
        <w:rPr>
          <w:rFonts w:cs="Arial"/>
          <w:color w:val="auto"/>
          <w:szCs w:val="20"/>
        </w:rPr>
        <w:t>i</w:t>
      </w:r>
      <w:proofErr w:type="spellEnd"/>
      <w:r w:rsidRPr="00EB0EBC">
        <w:rPr>
          <w:rFonts w:cs="Arial"/>
          <w:color w:val="auto"/>
          <w:szCs w:val="20"/>
        </w:rPr>
        <w:t>) in violation of this Contract, or (ii) into (or to a national or resident of) Afghanistan, Cuba, Iran, North Korea, Sudan, Syria, Venezuela or any other country subject to U.S. economic sanctions or other trade controls; or (iii) to anyone on the U.S. Treasury Department’s list of Specially Designated Nationals and Blocked Persons, List of Specially Designated Terrorists or List of Specially Designated Narcotics Traffickers or the U.S. Commerce Department’s Table of Deny Orders, Denied Persons List, Unverified Parties List, Entities List, or the U.S. State Department's list of Debarred Parties, or (iv) to any country or destination for which the U.S. government or U.S. governmental agency requires an export license or other approval for export without first having obtained such license or other approval. In the case of item (iv), Hexagon will provide an export control number for Hexagon Products upon request. Client recognizes and agrees that items (</w:t>
      </w:r>
      <w:proofErr w:type="spellStart"/>
      <w:r w:rsidRPr="00EB0EBC">
        <w:rPr>
          <w:rFonts w:cs="Arial"/>
          <w:color w:val="auto"/>
          <w:szCs w:val="20"/>
        </w:rPr>
        <w:t>i</w:t>
      </w:r>
      <w:proofErr w:type="spellEnd"/>
      <w:r w:rsidRPr="00EB0EBC">
        <w:rPr>
          <w:rFonts w:cs="Arial"/>
          <w:color w:val="auto"/>
          <w:szCs w:val="20"/>
        </w:rPr>
        <w:t>)-(iv) may change from time to time, and Client will ensure cooperation with current laws.</w:t>
      </w:r>
    </w:p>
    <w:p w14:paraId="62003610" w14:textId="77777777" w:rsidR="00ED2EDA" w:rsidRPr="00EB0EBC" w:rsidRDefault="00ED2EDA" w:rsidP="00ED2EDA">
      <w:pPr>
        <w:ind w:left="567" w:hanging="387"/>
        <w:jc w:val="both"/>
        <w:rPr>
          <w:rFonts w:cs="Arial"/>
          <w:color w:val="auto"/>
          <w:szCs w:val="20"/>
        </w:rPr>
      </w:pPr>
    </w:p>
    <w:p w14:paraId="3D26F734" w14:textId="77777777" w:rsidR="00ED2EDA" w:rsidRPr="00EB0EBC" w:rsidRDefault="00ED2EDA" w:rsidP="00ED2EDA">
      <w:pPr>
        <w:ind w:left="567" w:hanging="387"/>
        <w:jc w:val="both"/>
        <w:rPr>
          <w:rFonts w:cs="Arial"/>
          <w:color w:val="auto"/>
          <w:szCs w:val="20"/>
        </w:rPr>
      </w:pPr>
      <w:r w:rsidRPr="00EB0EBC">
        <w:rPr>
          <w:rFonts w:cs="Arial"/>
          <w:color w:val="auto"/>
          <w:szCs w:val="20"/>
        </w:rPr>
        <w:t xml:space="preserve">16.20. </w:t>
      </w:r>
      <w:r w:rsidRPr="00EB0EBC">
        <w:rPr>
          <w:rFonts w:cs="Arial"/>
          <w:b/>
          <w:bCs/>
          <w:color w:val="auto"/>
          <w:szCs w:val="20"/>
          <w:u w:val="single"/>
        </w:rPr>
        <w:t>Counterparts</w:t>
      </w:r>
      <w:r w:rsidRPr="00EB0EBC">
        <w:rPr>
          <w:rFonts w:cs="Arial"/>
          <w:color w:val="auto"/>
          <w:szCs w:val="20"/>
        </w:rPr>
        <w:t xml:space="preserve">. This Contract may be executed in one or more counterparts, each of which will be deemed an original, and all of which taken together will be deemed one and the same instrument. A copy of this Contract executed by any party and transmitted by facsimile or, to the extent permitted by applicable law, executed by electronic signatures, will be binding upon the parties as an original, executed and delivered in person. </w:t>
      </w:r>
    </w:p>
    <w:p w14:paraId="1AE6553E" w14:textId="77777777" w:rsidR="00ED2EDA" w:rsidRPr="00EB0EBC" w:rsidRDefault="00ED2EDA" w:rsidP="00ED2EDA">
      <w:pPr>
        <w:ind w:left="567" w:hanging="387"/>
        <w:jc w:val="both"/>
        <w:rPr>
          <w:rFonts w:cs="Arial"/>
          <w:color w:val="auto"/>
          <w:szCs w:val="20"/>
        </w:rPr>
      </w:pPr>
    </w:p>
    <w:p w14:paraId="1160ECB7" w14:textId="77777777" w:rsidR="00ED2EDA" w:rsidRPr="00EB0EBC" w:rsidRDefault="00ED2EDA" w:rsidP="00ED2EDA">
      <w:pPr>
        <w:ind w:left="567" w:hanging="387"/>
        <w:jc w:val="both"/>
        <w:rPr>
          <w:rFonts w:cs="Arial"/>
          <w:color w:val="auto"/>
          <w:szCs w:val="20"/>
        </w:rPr>
      </w:pPr>
      <w:r w:rsidRPr="00EB0EBC">
        <w:rPr>
          <w:rFonts w:cs="Arial"/>
          <w:color w:val="auto"/>
          <w:szCs w:val="20"/>
        </w:rPr>
        <w:t xml:space="preserve">16.21. </w:t>
      </w:r>
      <w:r w:rsidRPr="00EB0EBC">
        <w:rPr>
          <w:rFonts w:cs="Arial"/>
          <w:b/>
          <w:bCs/>
          <w:color w:val="auto"/>
          <w:szCs w:val="20"/>
          <w:u w:val="single"/>
        </w:rPr>
        <w:t>Order of Precedence</w:t>
      </w:r>
      <w:r w:rsidRPr="00EB0EBC">
        <w:rPr>
          <w:rFonts w:cs="Arial"/>
          <w:color w:val="auto"/>
          <w:szCs w:val="20"/>
        </w:rPr>
        <w:t>. In the event of any inconsistency or discrepancy, the following order of precedence will prevail: (</w:t>
      </w:r>
      <w:proofErr w:type="spellStart"/>
      <w:r w:rsidRPr="00EB0EBC">
        <w:rPr>
          <w:rFonts w:cs="Arial"/>
          <w:color w:val="auto"/>
          <w:szCs w:val="20"/>
        </w:rPr>
        <w:t>i</w:t>
      </w:r>
      <w:proofErr w:type="spellEnd"/>
      <w:r w:rsidRPr="00EB0EBC">
        <w:rPr>
          <w:rFonts w:cs="Arial"/>
          <w:color w:val="auto"/>
          <w:szCs w:val="20"/>
        </w:rPr>
        <w:t xml:space="preserve">) Hexagon’s Proposal / Quotation; (ii) these General Terms and Conditions; (iii) the Special Conditions (Appendices) and (iv) the Purchase Order(s) issued by Client. </w:t>
      </w:r>
    </w:p>
    <w:p w14:paraId="4E65DD01" w14:textId="77777777" w:rsidR="00ED2EDA" w:rsidRPr="00EB0EBC" w:rsidRDefault="00ED2EDA" w:rsidP="00ED2EDA">
      <w:pPr>
        <w:ind w:left="567" w:hanging="387"/>
        <w:jc w:val="both"/>
        <w:rPr>
          <w:rFonts w:cs="Arial"/>
          <w:color w:val="auto"/>
          <w:szCs w:val="20"/>
        </w:rPr>
      </w:pPr>
    </w:p>
    <w:p w14:paraId="34DC55DE" w14:textId="77777777" w:rsidR="00ED2EDA" w:rsidRPr="00EB0EBC" w:rsidRDefault="00ED2EDA" w:rsidP="00ED2EDA">
      <w:pPr>
        <w:ind w:left="567" w:hanging="387"/>
        <w:jc w:val="both"/>
        <w:rPr>
          <w:rFonts w:cs="Arial"/>
          <w:color w:val="auto"/>
          <w:szCs w:val="20"/>
        </w:rPr>
      </w:pPr>
      <w:r w:rsidRPr="00EB0EBC">
        <w:rPr>
          <w:rFonts w:cs="Arial"/>
          <w:color w:val="auto"/>
          <w:szCs w:val="20"/>
        </w:rPr>
        <w:t xml:space="preserve">16.22. </w:t>
      </w:r>
      <w:r w:rsidRPr="00EB0EBC">
        <w:rPr>
          <w:rFonts w:cs="Arial"/>
          <w:b/>
          <w:bCs/>
          <w:color w:val="auto"/>
          <w:szCs w:val="20"/>
          <w:u w:val="single"/>
        </w:rPr>
        <w:t>Formation of Contract</w:t>
      </w:r>
      <w:r w:rsidRPr="00EB0EBC">
        <w:rPr>
          <w:rFonts w:cs="Arial"/>
          <w:b/>
          <w:bCs/>
          <w:color w:val="auto"/>
          <w:szCs w:val="20"/>
        </w:rPr>
        <w:t>.</w:t>
      </w:r>
      <w:r w:rsidRPr="00EB0EBC">
        <w:rPr>
          <w:rFonts w:cs="Arial"/>
          <w:color w:val="auto"/>
          <w:szCs w:val="20"/>
        </w:rPr>
        <w:t xml:space="preserve"> These terms and conditions (along with any Proposal or Quotation) apply to the Contract entered into with the Client whether as an offer, or as an acceptance of an offer), and shall prevail, in the event of any conflict between them and Client provided terms. </w:t>
      </w:r>
      <w:r w:rsidRPr="00EB0EBC">
        <w:rPr>
          <w:color w:val="auto"/>
        </w:rPr>
        <w:t>Any terms and conditions proposed, published or sent by the Client to Hexagon or otherwise referred to in any document or material provided by the Client to Hexagon (including any terms and conditions published on any website or contained in any online ordering process, whether or not acknowledged by Hexagon) do not form part of (and are expressly excluded from) this Contract. If the Client provides, refers to, submits or otherwise uses terms and conditions other than those included herein (including as part of the submission of a purchase order) such terms and conditions will not form part of or become incorporated into this Contract.</w:t>
      </w:r>
    </w:p>
    <w:p w14:paraId="2FDBA89B" w14:textId="77777777" w:rsidR="00A2584F" w:rsidRPr="00EB0EBC" w:rsidRDefault="00A2584F" w:rsidP="00A2584F">
      <w:pPr>
        <w:pStyle w:val="Subtitle"/>
        <w:rPr>
          <w:color w:val="auto"/>
        </w:rPr>
      </w:pPr>
    </w:p>
    <w:tbl>
      <w:tblPr>
        <w:tblStyle w:val="TableGrid"/>
        <w:tblpPr w:horzAnchor="margin" w:tblpYSpec="bottom"/>
        <w:tblOverlap w:val="never"/>
        <w:tblW w:w="0" w:type="auto"/>
        <w:tblLook w:val="04A0" w:firstRow="1" w:lastRow="0" w:firstColumn="1" w:lastColumn="0" w:noHBand="0" w:noVBand="1"/>
      </w:tblPr>
      <w:tblGrid>
        <w:gridCol w:w="8959"/>
      </w:tblGrid>
      <w:tr w:rsidR="00EB0EBC" w:rsidRPr="00EB0EBC" w14:paraId="73D954C5" w14:textId="77777777" w:rsidTr="00ED2EDA">
        <w:trPr>
          <w:trHeight w:val="630"/>
        </w:trPr>
        <w:tc>
          <w:tcPr>
            <w:tcW w:w="8959" w:type="dxa"/>
          </w:tcPr>
          <w:p w14:paraId="18E0099B" w14:textId="77777777" w:rsidR="00B57080" w:rsidRPr="00EB0EBC" w:rsidRDefault="00B57080" w:rsidP="00B57080">
            <w:pPr>
              <w:pStyle w:val="Category"/>
              <w:rPr>
                <w:color w:val="auto"/>
              </w:rPr>
            </w:pPr>
          </w:p>
          <w:p w14:paraId="65DD3F7C" w14:textId="02EC5001" w:rsidR="00B57080" w:rsidRPr="00EB0EBC" w:rsidRDefault="00B57080" w:rsidP="00B57080">
            <w:pPr>
              <w:pStyle w:val="Category"/>
              <w:rPr>
                <w:color w:val="auto"/>
              </w:rPr>
            </w:pPr>
            <w:r w:rsidRPr="00EB0EBC">
              <w:rPr>
                <w:color w:val="auto"/>
              </w:rPr>
              <w:fldChar w:fldCharType="begin"/>
            </w:r>
            <w:r w:rsidRPr="00EB0EBC">
              <w:rPr>
                <w:color w:val="auto"/>
              </w:rPr>
              <w:instrText xml:space="preserve"> date \@ "d MMMM YYYY" \mergeformat </w:instrText>
            </w:r>
            <w:r w:rsidRPr="00EB0EBC">
              <w:rPr>
                <w:color w:val="auto"/>
              </w:rPr>
              <w:fldChar w:fldCharType="separate"/>
            </w:r>
            <w:r w:rsidR="00833A0C">
              <w:rPr>
                <w:noProof/>
                <w:color w:val="auto"/>
              </w:rPr>
              <w:t>11 October 2021</w:t>
            </w:r>
            <w:r w:rsidRPr="00EB0EBC">
              <w:rPr>
                <w:color w:val="auto"/>
              </w:rPr>
              <w:fldChar w:fldCharType="end"/>
            </w:r>
          </w:p>
        </w:tc>
      </w:tr>
    </w:tbl>
    <w:p w14:paraId="363C3C44" w14:textId="77777777" w:rsidR="00220D05" w:rsidRPr="00EB0EBC" w:rsidRDefault="00220D05" w:rsidP="00EB0EBC">
      <w:pPr>
        <w:pStyle w:val="TOCHeading"/>
        <w:rPr>
          <w:color w:val="auto"/>
        </w:rPr>
      </w:pPr>
    </w:p>
    <w:sectPr w:rsidR="00220D05" w:rsidRPr="00EB0EBC" w:rsidSect="00EB0EBC">
      <w:headerReference w:type="default" r:id="rId18"/>
      <w:pgSz w:w="11907" w:h="16840" w:code="9"/>
      <w:pgMar w:top="2160" w:right="1440" w:bottom="1440" w:left="1440" w:header="133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EA616" w14:textId="77777777" w:rsidR="00A60608" w:rsidRDefault="00A60608" w:rsidP="00FE141F">
      <w:r>
        <w:separator/>
      </w:r>
    </w:p>
  </w:endnote>
  <w:endnote w:type="continuationSeparator" w:id="0">
    <w:p w14:paraId="406F3E9F" w14:textId="77777777" w:rsidR="00A60608" w:rsidRDefault="00A60608"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1)">
    <w:altName w:val="Arial"/>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xagon Akkurat Light">
    <w:panose1 w:val="020B0404020101010102"/>
    <w:charset w:val="82"/>
    <w:family w:val="swiss"/>
    <w:notTrueType/>
    <w:pitch w:val="variable"/>
    <w:sig w:usb0="A10000FF" w:usb1="5906A47B" w:usb2="00000018" w:usb3="00000000" w:csb0="00200093" w:csb1="00000000"/>
  </w:font>
  <w:font w:name="ArialMT">
    <w:altName w:val="Arial"/>
    <w:panose1 w:val="00000000000000000000"/>
    <w:charset w:val="00"/>
    <w:family w:val="roman"/>
    <w:notTrueType/>
    <w:pitch w:val="default"/>
  </w:font>
  <w:font w:name="Hexagon Akkurat">
    <w:panose1 w:val="020B0504020101010102"/>
    <w:charset w:val="82"/>
    <w:family w:val="swiss"/>
    <w:notTrueType/>
    <w:pitch w:val="variable"/>
    <w:sig w:usb0="A10000FF" w:usb1="5906A47B" w:usb2="00000018" w:usb3="00000000" w:csb0="002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CC178" w14:textId="77777777" w:rsidR="00833A0C" w:rsidRDefault="00833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711206"/>
      <w:docPartObj>
        <w:docPartGallery w:val="Page Numbers (Bottom of Page)"/>
        <w:docPartUnique/>
      </w:docPartObj>
    </w:sdtPr>
    <w:sdtEndPr/>
    <w:sdtContent>
      <w:sdt>
        <w:sdtPr>
          <w:id w:val="-1769616900"/>
          <w:docPartObj>
            <w:docPartGallery w:val="Page Numbers (Top of Page)"/>
            <w:docPartUnique/>
          </w:docPartObj>
        </w:sdtPr>
        <w:sdtEndPr/>
        <w:sdtContent>
          <w:p w14:paraId="229DBFB2" w14:textId="79B11D61" w:rsidR="008B6989" w:rsidRDefault="008B6989">
            <w:pPr>
              <w:pStyle w:val="Footer"/>
              <w:jc w:val="right"/>
            </w:pPr>
            <w:r w:rsidRPr="008B6989">
              <w:rPr>
                <w:sz w:val="16"/>
                <w:szCs w:val="16"/>
              </w:rPr>
              <w:t xml:space="preserve">Page </w:t>
            </w:r>
            <w:r w:rsidRPr="008B6989">
              <w:rPr>
                <w:b/>
                <w:bCs/>
                <w:sz w:val="16"/>
                <w:szCs w:val="16"/>
              </w:rPr>
              <w:fldChar w:fldCharType="begin"/>
            </w:r>
            <w:r w:rsidRPr="008B6989">
              <w:rPr>
                <w:b/>
                <w:bCs/>
                <w:sz w:val="16"/>
                <w:szCs w:val="16"/>
              </w:rPr>
              <w:instrText xml:space="preserve"> PAGE </w:instrText>
            </w:r>
            <w:r w:rsidRPr="008B6989">
              <w:rPr>
                <w:b/>
                <w:bCs/>
                <w:sz w:val="16"/>
                <w:szCs w:val="16"/>
              </w:rPr>
              <w:fldChar w:fldCharType="separate"/>
            </w:r>
            <w:r w:rsidRPr="008B6989">
              <w:rPr>
                <w:b/>
                <w:bCs/>
                <w:noProof/>
                <w:sz w:val="16"/>
                <w:szCs w:val="16"/>
              </w:rPr>
              <w:t>2</w:t>
            </w:r>
            <w:r w:rsidRPr="008B6989">
              <w:rPr>
                <w:b/>
                <w:bCs/>
                <w:sz w:val="16"/>
                <w:szCs w:val="16"/>
              </w:rPr>
              <w:fldChar w:fldCharType="end"/>
            </w:r>
            <w:r w:rsidRPr="008B6989">
              <w:rPr>
                <w:sz w:val="16"/>
                <w:szCs w:val="16"/>
              </w:rPr>
              <w:t xml:space="preserve"> of </w:t>
            </w:r>
            <w:r w:rsidRPr="008B6989">
              <w:rPr>
                <w:b/>
                <w:bCs/>
                <w:sz w:val="16"/>
                <w:szCs w:val="16"/>
              </w:rPr>
              <w:fldChar w:fldCharType="begin"/>
            </w:r>
            <w:r w:rsidRPr="008B6989">
              <w:rPr>
                <w:b/>
                <w:bCs/>
                <w:sz w:val="16"/>
                <w:szCs w:val="16"/>
              </w:rPr>
              <w:instrText xml:space="preserve"> NUMPAGES  </w:instrText>
            </w:r>
            <w:r w:rsidRPr="008B6989">
              <w:rPr>
                <w:b/>
                <w:bCs/>
                <w:sz w:val="16"/>
                <w:szCs w:val="16"/>
              </w:rPr>
              <w:fldChar w:fldCharType="separate"/>
            </w:r>
            <w:r w:rsidRPr="008B6989">
              <w:rPr>
                <w:b/>
                <w:bCs/>
                <w:noProof/>
                <w:sz w:val="16"/>
                <w:szCs w:val="16"/>
              </w:rPr>
              <w:t>2</w:t>
            </w:r>
            <w:r w:rsidRPr="008B6989">
              <w:rPr>
                <w:b/>
                <w:bCs/>
                <w:sz w:val="16"/>
                <w:szCs w:val="16"/>
              </w:rPr>
              <w:fldChar w:fldCharType="end"/>
            </w:r>
          </w:p>
        </w:sdtContent>
      </w:sdt>
    </w:sdtContent>
  </w:sdt>
  <w:p w14:paraId="1BA819F1" w14:textId="77777777" w:rsidR="00271905" w:rsidRDefault="00271905" w:rsidP="00FE141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CB2CE" w14:textId="77777777" w:rsidR="00833A0C" w:rsidRDefault="00833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2ECC6" w14:textId="77777777" w:rsidR="00A60608" w:rsidRDefault="00A60608" w:rsidP="00FE141F">
      <w:r>
        <w:separator/>
      </w:r>
    </w:p>
  </w:footnote>
  <w:footnote w:type="continuationSeparator" w:id="0">
    <w:p w14:paraId="392B8E83" w14:textId="77777777" w:rsidR="00A60608" w:rsidRDefault="00A60608" w:rsidP="00FE1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2EA02" w14:textId="77777777" w:rsidR="00833A0C" w:rsidRDefault="00833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19421" w14:textId="43013416" w:rsidR="00ED2EDA" w:rsidRDefault="00ED2EDA" w:rsidP="001E60B5">
    <w:pPr>
      <w:pStyle w:val="Header"/>
    </w:pPr>
    <w:r w:rsidRPr="00AE0CDB">
      <w:rPr>
        <w:noProof/>
        <w:lang w:val="pt-BR" w:eastAsia="pt-BR"/>
      </w:rPr>
      <mc:AlternateContent>
        <mc:Choice Requires="wps">
          <w:drawing>
            <wp:anchor distT="0" distB="0" distL="114300" distR="114300" simplePos="0" relativeHeight="251696128" behindDoc="0" locked="0" layoutInCell="1" allowOverlap="1" wp14:anchorId="62A41701" wp14:editId="4118C4E7">
              <wp:simplePos x="0" y="0"/>
              <wp:positionH relativeFrom="column">
                <wp:posOffset>2963131</wp:posOffset>
              </wp:positionH>
              <wp:positionV relativeFrom="paragraph">
                <wp:posOffset>-75593</wp:posOffset>
              </wp:positionV>
              <wp:extent cx="3168015" cy="1113155"/>
              <wp:effectExtent l="0" t="0" r="0"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1113155"/>
                      </a:xfrm>
                      <a:prstGeom prst="rect">
                        <a:avLst/>
                      </a:prstGeom>
                      <a:solidFill>
                        <a:srgbClr val="FFFFFF"/>
                      </a:solidFill>
                      <a:ln w="9525">
                        <a:noFill/>
                        <a:miter lim="800000"/>
                        <a:headEnd/>
                        <a:tailEnd/>
                      </a:ln>
                    </wps:spPr>
                    <wps:txbx>
                      <w:txbxContent>
                        <w:p w14:paraId="15841449" w14:textId="3362AB9E" w:rsidR="00ED2EDA" w:rsidRPr="008B6989" w:rsidRDefault="008B6989" w:rsidP="00ED2EDA">
                          <w:pPr>
                            <w:pStyle w:val="HEXFooter"/>
                            <w:jc w:val="right"/>
                            <w:rPr>
                              <w:rFonts w:asciiTheme="minorHAnsi" w:hAnsiTheme="minorHAnsi" w:cstheme="minorHAnsi"/>
                              <w:sz w:val="16"/>
                              <w:szCs w:val="16"/>
                            </w:rPr>
                          </w:pPr>
                          <w:r w:rsidRPr="008B6989">
                            <w:rPr>
                              <w:rFonts w:asciiTheme="minorHAnsi" w:hAnsiTheme="minorHAnsi" w:cstheme="minorHAnsi"/>
                              <w:sz w:val="16"/>
                              <w:szCs w:val="16"/>
                            </w:rPr>
                            <w:t>Hexagon Mining Inc.</w:t>
                          </w:r>
                        </w:p>
                        <w:p w14:paraId="070AFC4E" w14:textId="63D71E9D" w:rsidR="00ED2EDA" w:rsidRPr="00ED7558" w:rsidRDefault="00ED2EDA" w:rsidP="00ED2EDA">
                          <w:pPr>
                            <w:pStyle w:val="HEXFooter"/>
                            <w:jc w:val="right"/>
                            <w:rPr>
                              <w:sz w:val="16"/>
                            </w:rPr>
                          </w:pPr>
                          <w:r w:rsidRPr="00ED7558">
                            <w:rPr>
                              <w:sz w:val="16"/>
                            </w:rPr>
                            <w:t>40 E C</w:t>
                          </w:r>
                          <w:r>
                            <w:rPr>
                              <w:sz w:val="16"/>
                            </w:rPr>
                            <w:t xml:space="preserve">ongress Street, Suite </w:t>
                          </w:r>
                          <w:r w:rsidR="008B6989">
                            <w:rPr>
                              <w:sz w:val="16"/>
                            </w:rPr>
                            <w:t>150</w:t>
                          </w:r>
                        </w:p>
                        <w:p w14:paraId="39770F76" w14:textId="67EA80C1" w:rsidR="00ED2EDA" w:rsidRPr="00E72CD6" w:rsidRDefault="00ED2EDA" w:rsidP="00833A0C">
                          <w:pPr>
                            <w:pStyle w:val="HEXFooter"/>
                            <w:jc w:val="right"/>
                            <w:rPr>
                              <w:sz w:val="16"/>
                              <w:lang w:val="es-CL"/>
                            </w:rPr>
                          </w:pPr>
                          <w:r w:rsidRPr="00E72CD6">
                            <w:rPr>
                              <w:sz w:val="16"/>
                              <w:lang w:val="es-CL"/>
                            </w:rPr>
                            <w:t>Tucson, AZ</w:t>
                          </w:r>
                          <w:r w:rsidR="00833A0C">
                            <w:rPr>
                              <w:sz w:val="16"/>
                              <w:lang w:val="es-CL"/>
                            </w:rPr>
                            <w:t xml:space="preserve">, </w:t>
                          </w:r>
                          <w:r w:rsidRPr="00E72CD6">
                            <w:rPr>
                              <w:sz w:val="16"/>
                              <w:lang w:val="es-CL"/>
                            </w:rPr>
                            <w:t xml:space="preserve">87501, USA </w:t>
                          </w:r>
                        </w:p>
                        <w:p w14:paraId="2798E288" w14:textId="77777777" w:rsidR="00ED2EDA" w:rsidRDefault="00ED2EDA" w:rsidP="00ED2EDA">
                          <w:pPr>
                            <w:pStyle w:val="HEXFooter"/>
                            <w:ind w:right="23"/>
                            <w:jc w:val="right"/>
                            <w:rPr>
                              <w:rFonts w:ascii="ArialMT" w:eastAsia="Times New Roman" w:hAnsi="ArialMT" w:cs="Times New Roman"/>
                              <w:sz w:val="16"/>
                              <w:szCs w:val="16"/>
                              <w:lang w:val="es-CL"/>
                            </w:rPr>
                          </w:pPr>
                          <w:r w:rsidRPr="00E72CD6">
                            <w:rPr>
                              <w:rFonts w:ascii="ArialMT" w:eastAsia="Times New Roman" w:hAnsi="ArialMT" w:cs="Times New Roman"/>
                              <w:sz w:val="16"/>
                              <w:szCs w:val="16"/>
                              <w:lang w:val="es-CL"/>
                            </w:rPr>
                            <w:t xml:space="preserve">T: +1 (520) 795-3891 </w:t>
                          </w:r>
                          <w:r w:rsidRPr="00E72CD6">
                            <w:rPr>
                              <w:rFonts w:ascii="ArialMT" w:eastAsia="Times New Roman" w:hAnsi="ArialMT" w:cs="Times New Roman"/>
                              <w:sz w:val="16"/>
                              <w:szCs w:val="16"/>
                              <w:lang w:val="es-CL"/>
                            </w:rPr>
                            <w:br/>
                            <w:t xml:space="preserve">F: +1 (520) 325-2568 </w:t>
                          </w:r>
                        </w:p>
                        <w:p w14:paraId="2F374BE1" w14:textId="77777777" w:rsidR="00ED2EDA" w:rsidRPr="00E72CD6" w:rsidRDefault="00ED2EDA" w:rsidP="00ED2EDA">
                          <w:pPr>
                            <w:pStyle w:val="HEXFooter"/>
                            <w:ind w:right="23"/>
                            <w:jc w:val="right"/>
                            <w:rPr>
                              <w:sz w:val="16"/>
                              <w:lang w:val="es-CL"/>
                            </w:rPr>
                          </w:pPr>
                          <w:r w:rsidRPr="00E72CD6">
                            <w:rPr>
                              <w:rFonts w:ascii="ArialMT" w:eastAsia="Times New Roman" w:hAnsi="ArialMT" w:cs="Times New Roman"/>
                              <w:sz w:val="16"/>
                              <w:szCs w:val="16"/>
                              <w:lang w:val="es-CL"/>
                            </w:rPr>
                            <w:t>www.</w:t>
                          </w:r>
                          <w:r>
                            <w:rPr>
                              <w:rFonts w:ascii="ArialMT" w:eastAsia="Times New Roman" w:hAnsi="ArialMT" w:cs="Times New Roman"/>
                              <w:sz w:val="16"/>
                              <w:szCs w:val="16"/>
                              <w:lang w:val="es-CL"/>
                            </w:rPr>
                            <w:t>h</w:t>
                          </w:r>
                          <w:r w:rsidRPr="00E72CD6">
                            <w:rPr>
                              <w:rFonts w:ascii="ArialMT" w:eastAsia="Times New Roman" w:hAnsi="ArialMT" w:cs="Times New Roman"/>
                              <w:sz w:val="16"/>
                              <w:szCs w:val="16"/>
                              <w:lang w:val="es-CL"/>
                            </w:rPr>
                            <w:t>exagon</w:t>
                          </w:r>
                          <w:r>
                            <w:rPr>
                              <w:rFonts w:ascii="ArialMT" w:eastAsia="Times New Roman" w:hAnsi="ArialMT" w:cs="Times New Roman"/>
                              <w:sz w:val="16"/>
                              <w:szCs w:val="16"/>
                              <w:lang w:val="es-CL"/>
                            </w:rPr>
                            <w:t>m</w:t>
                          </w:r>
                          <w:r w:rsidRPr="00E72CD6">
                            <w:rPr>
                              <w:rFonts w:ascii="ArialMT" w:eastAsia="Times New Roman" w:hAnsi="ArialMT" w:cs="Times New Roman"/>
                              <w:sz w:val="16"/>
                              <w:szCs w:val="16"/>
                              <w:lang w:val="es-CL"/>
                            </w:rPr>
                            <w:t>ining.com</w:t>
                          </w:r>
                          <w:r w:rsidRPr="00E72CD6">
                            <w:rPr>
                              <w:sz w:val="16"/>
                              <w:lang w:val="es-CL"/>
                            </w:rPr>
                            <w:t xml:space="preserve"> </w:t>
                          </w:r>
                        </w:p>
                        <w:p w14:paraId="7766D3B9" w14:textId="77777777" w:rsidR="00ED2EDA" w:rsidRPr="0097199F" w:rsidRDefault="00ED2EDA" w:rsidP="00ED2EDA">
                          <w:pPr>
                            <w:pStyle w:val="HEXFooter"/>
                            <w:ind w:right="23"/>
                            <w:jc w:val="right"/>
                            <w:rPr>
                              <w:sz w:val="16"/>
                              <w:lang w:val="pt-B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A41701" id="_x0000_t202" coordsize="21600,21600" o:spt="202" path="m,l,21600r21600,l21600,xe">
              <v:stroke joinstyle="miter"/>
              <v:path gradientshapeok="t" o:connecttype="rect"/>
            </v:shapetype>
            <v:shape id="Text Box 2" o:spid="_x0000_s1026" type="#_x0000_t202" style="position:absolute;left:0;text-align:left;margin-left:233.3pt;margin-top:-5.95pt;width:249.45pt;height:87.6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" stroked="f">
              <v:textbox style="mso-fit-shape-to-text:t">
                <w:txbxContent>
                  <w:p w14:paraId="15841449" w14:textId="3362AB9E" w:rsidR="00ED2EDA" w:rsidRPr="008B6989" w:rsidRDefault="008B6989" w:rsidP="00ED2EDA">
                    <w:pPr>
                      <w:pStyle w:val="HEXFooter"/>
                      <w:jc w:val="right"/>
                      <w:rPr>
                        <w:rFonts w:asciiTheme="minorHAnsi" w:hAnsiTheme="minorHAnsi" w:cstheme="minorHAnsi"/>
                        <w:sz w:val="16"/>
                        <w:szCs w:val="16"/>
                      </w:rPr>
                    </w:pPr>
                    <w:r w:rsidRPr="008B6989">
                      <w:rPr>
                        <w:rFonts w:asciiTheme="minorHAnsi" w:hAnsiTheme="minorHAnsi" w:cstheme="minorHAnsi"/>
                        <w:sz w:val="16"/>
                        <w:szCs w:val="16"/>
                      </w:rPr>
                      <w:t>Hexagon Mining Inc.</w:t>
                    </w:r>
                  </w:p>
                  <w:p w14:paraId="070AFC4E" w14:textId="63D71E9D" w:rsidR="00ED2EDA" w:rsidRPr="00ED7558" w:rsidRDefault="00ED2EDA" w:rsidP="00ED2EDA">
                    <w:pPr>
                      <w:pStyle w:val="HEXFooter"/>
                      <w:jc w:val="right"/>
                      <w:rPr>
                        <w:sz w:val="16"/>
                      </w:rPr>
                    </w:pPr>
                    <w:r w:rsidRPr="00ED7558">
                      <w:rPr>
                        <w:sz w:val="16"/>
                      </w:rPr>
                      <w:t>40 E C</w:t>
                    </w:r>
                    <w:r>
                      <w:rPr>
                        <w:sz w:val="16"/>
                      </w:rPr>
                      <w:t xml:space="preserve">ongress Street, Suite </w:t>
                    </w:r>
                    <w:r w:rsidR="008B6989">
                      <w:rPr>
                        <w:sz w:val="16"/>
                      </w:rPr>
                      <w:t>150</w:t>
                    </w:r>
                  </w:p>
                  <w:p w14:paraId="39770F76" w14:textId="67EA80C1" w:rsidR="00ED2EDA" w:rsidRPr="00E72CD6" w:rsidRDefault="00ED2EDA" w:rsidP="00833A0C">
                    <w:pPr>
                      <w:pStyle w:val="HEXFooter"/>
                      <w:jc w:val="right"/>
                      <w:rPr>
                        <w:sz w:val="16"/>
                        <w:lang w:val="es-CL"/>
                      </w:rPr>
                    </w:pPr>
                    <w:r w:rsidRPr="00E72CD6">
                      <w:rPr>
                        <w:sz w:val="16"/>
                        <w:lang w:val="es-CL"/>
                      </w:rPr>
                      <w:t>Tucson, AZ</w:t>
                    </w:r>
                    <w:r w:rsidR="00833A0C">
                      <w:rPr>
                        <w:sz w:val="16"/>
                        <w:lang w:val="es-CL"/>
                      </w:rPr>
                      <w:t xml:space="preserve">, </w:t>
                    </w:r>
                    <w:r w:rsidRPr="00E72CD6">
                      <w:rPr>
                        <w:sz w:val="16"/>
                        <w:lang w:val="es-CL"/>
                      </w:rPr>
                      <w:t xml:space="preserve">87501, USA </w:t>
                    </w:r>
                  </w:p>
                  <w:p w14:paraId="2798E288" w14:textId="77777777" w:rsidR="00ED2EDA" w:rsidRDefault="00ED2EDA" w:rsidP="00ED2EDA">
                    <w:pPr>
                      <w:pStyle w:val="HEXFooter"/>
                      <w:ind w:right="23"/>
                      <w:jc w:val="right"/>
                      <w:rPr>
                        <w:rFonts w:ascii="ArialMT" w:eastAsia="Times New Roman" w:hAnsi="ArialMT" w:cs="Times New Roman"/>
                        <w:sz w:val="16"/>
                        <w:szCs w:val="16"/>
                        <w:lang w:val="es-CL"/>
                      </w:rPr>
                    </w:pPr>
                    <w:r w:rsidRPr="00E72CD6">
                      <w:rPr>
                        <w:rFonts w:ascii="ArialMT" w:eastAsia="Times New Roman" w:hAnsi="ArialMT" w:cs="Times New Roman"/>
                        <w:sz w:val="16"/>
                        <w:szCs w:val="16"/>
                        <w:lang w:val="es-CL"/>
                      </w:rPr>
                      <w:t xml:space="preserve">T: +1 (520) 795-3891 </w:t>
                    </w:r>
                    <w:r w:rsidRPr="00E72CD6">
                      <w:rPr>
                        <w:rFonts w:ascii="ArialMT" w:eastAsia="Times New Roman" w:hAnsi="ArialMT" w:cs="Times New Roman"/>
                        <w:sz w:val="16"/>
                        <w:szCs w:val="16"/>
                        <w:lang w:val="es-CL"/>
                      </w:rPr>
                      <w:br/>
                      <w:t xml:space="preserve">F: +1 (520) 325-2568 </w:t>
                    </w:r>
                  </w:p>
                  <w:p w14:paraId="2F374BE1" w14:textId="77777777" w:rsidR="00ED2EDA" w:rsidRPr="00E72CD6" w:rsidRDefault="00ED2EDA" w:rsidP="00ED2EDA">
                    <w:pPr>
                      <w:pStyle w:val="HEXFooter"/>
                      <w:ind w:right="23"/>
                      <w:jc w:val="right"/>
                      <w:rPr>
                        <w:sz w:val="16"/>
                        <w:lang w:val="es-CL"/>
                      </w:rPr>
                    </w:pPr>
                    <w:r w:rsidRPr="00E72CD6">
                      <w:rPr>
                        <w:rFonts w:ascii="ArialMT" w:eastAsia="Times New Roman" w:hAnsi="ArialMT" w:cs="Times New Roman"/>
                        <w:sz w:val="16"/>
                        <w:szCs w:val="16"/>
                        <w:lang w:val="es-CL"/>
                      </w:rPr>
                      <w:t>www.</w:t>
                    </w:r>
                    <w:r>
                      <w:rPr>
                        <w:rFonts w:ascii="ArialMT" w:eastAsia="Times New Roman" w:hAnsi="ArialMT" w:cs="Times New Roman"/>
                        <w:sz w:val="16"/>
                        <w:szCs w:val="16"/>
                        <w:lang w:val="es-CL"/>
                      </w:rPr>
                      <w:t>h</w:t>
                    </w:r>
                    <w:r w:rsidRPr="00E72CD6">
                      <w:rPr>
                        <w:rFonts w:ascii="ArialMT" w:eastAsia="Times New Roman" w:hAnsi="ArialMT" w:cs="Times New Roman"/>
                        <w:sz w:val="16"/>
                        <w:szCs w:val="16"/>
                        <w:lang w:val="es-CL"/>
                      </w:rPr>
                      <w:t>exagon</w:t>
                    </w:r>
                    <w:r>
                      <w:rPr>
                        <w:rFonts w:ascii="ArialMT" w:eastAsia="Times New Roman" w:hAnsi="ArialMT" w:cs="Times New Roman"/>
                        <w:sz w:val="16"/>
                        <w:szCs w:val="16"/>
                        <w:lang w:val="es-CL"/>
                      </w:rPr>
                      <w:t>m</w:t>
                    </w:r>
                    <w:r w:rsidRPr="00E72CD6">
                      <w:rPr>
                        <w:rFonts w:ascii="ArialMT" w:eastAsia="Times New Roman" w:hAnsi="ArialMT" w:cs="Times New Roman"/>
                        <w:sz w:val="16"/>
                        <w:szCs w:val="16"/>
                        <w:lang w:val="es-CL"/>
                      </w:rPr>
                      <w:t>ining.com</w:t>
                    </w:r>
                    <w:r w:rsidRPr="00E72CD6">
                      <w:rPr>
                        <w:sz w:val="16"/>
                        <w:lang w:val="es-CL"/>
                      </w:rPr>
                      <w:t xml:space="preserve"> </w:t>
                    </w:r>
                  </w:p>
                  <w:p w14:paraId="7766D3B9" w14:textId="77777777" w:rsidR="00ED2EDA" w:rsidRPr="0097199F" w:rsidRDefault="00ED2EDA" w:rsidP="00ED2EDA">
                    <w:pPr>
                      <w:pStyle w:val="HEXFooter"/>
                      <w:ind w:right="23"/>
                      <w:jc w:val="right"/>
                      <w:rPr>
                        <w:sz w:val="16"/>
                        <w:lang w:val="pt-BR"/>
                      </w:rPr>
                    </w:pPr>
                  </w:p>
                </w:txbxContent>
              </v:textbox>
            </v:shape>
          </w:pict>
        </mc:Fallback>
      </mc:AlternateContent>
    </w:r>
  </w:p>
  <w:p w14:paraId="760B4A84" w14:textId="53A5E78C" w:rsidR="00ED2EDA" w:rsidRDefault="00ED2EDA" w:rsidP="001E60B5">
    <w:pPr>
      <w:pStyle w:val="Header"/>
    </w:pPr>
  </w:p>
  <w:p w14:paraId="0EBD2BC3" w14:textId="77777777" w:rsidR="00ED2EDA" w:rsidRDefault="00ED2EDA" w:rsidP="001E60B5">
    <w:pPr>
      <w:pStyle w:val="Header"/>
    </w:pPr>
  </w:p>
  <w:p w14:paraId="01E69C82" w14:textId="1448FBE9" w:rsidR="00ED2EDA" w:rsidRDefault="00ED2EDA" w:rsidP="001E60B5">
    <w:pPr>
      <w:pStyle w:val="Header"/>
    </w:pPr>
  </w:p>
  <w:p w14:paraId="21EECEB8" w14:textId="407AD319" w:rsidR="00271905" w:rsidRPr="001E60B5" w:rsidRDefault="00ED2EDA" w:rsidP="001E60B5">
    <w:pPr>
      <w:pStyle w:val="Header"/>
    </w:pPr>
    <w:r w:rsidRPr="001E60B5">
      <w:rPr>
        <w:noProof/>
      </w:rPr>
      <w:drawing>
        <wp:anchor distT="0" distB="0" distL="114300" distR="114300" simplePos="0" relativeHeight="251682816" behindDoc="1" locked="0" layoutInCell="1" allowOverlap="1" wp14:anchorId="1334D913" wp14:editId="1D6636F9">
          <wp:simplePos x="0" y="0"/>
          <wp:positionH relativeFrom="page">
            <wp:posOffset>612250</wp:posOffset>
          </wp:positionH>
          <wp:positionV relativeFrom="page">
            <wp:posOffset>572494</wp:posOffset>
          </wp:positionV>
          <wp:extent cx="2003729" cy="635078"/>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xagon_RGB_STANDARD.jpg"/>
                  <pic:cNvPicPr/>
                </pic:nvPicPr>
                <pic:blipFill rotWithShape="1">
                  <a:blip r:embed="rId1">
                    <a:extLst>
                      <a:ext uri="{28A0092B-C50C-407E-A947-70E740481C1C}">
                        <a14:useLocalDpi xmlns:a14="http://schemas.microsoft.com/office/drawing/2010/main" val="0"/>
                      </a:ext>
                    </a:extLst>
                  </a:blip>
                  <a:srcRect l="7223" t="16897" r="6972" b="16632"/>
                  <a:stretch/>
                </pic:blipFill>
                <pic:spPr bwMode="auto">
                  <a:xfrm>
                    <a:off x="0" y="0"/>
                    <a:ext cx="2022723" cy="6410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02307" w14:textId="77777777" w:rsidR="00833A0C" w:rsidRDefault="00833A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50023" w14:textId="1E0585B6" w:rsidR="00723460" w:rsidRDefault="00723460">
    <w:pPr>
      <w:pStyle w:val="Header"/>
    </w:pPr>
    <w:r>
      <w:rPr>
        <w:noProof/>
      </w:rPr>
      <w:drawing>
        <wp:anchor distT="0" distB="0" distL="114300" distR="114300" simplePos="0" relativeHeight="251694080" behindDoc="1" locked="0" layoutInCell="1" allowOverlap="1" wp14:anchorId="13A94CE3" wp14:editId="60F76E50">
          <wp:simplePos x="0" y="0"/>
          <wp:positionH relativeFrom="margin">
            <wp:posOffset>0</wp:posOffset>
          </wp:positionH>
          <wp:positionV relativeFrom="page">
            <wp:posOffset>575945</wp:posOffset>
          </wp:positionV>
          <wp:extent cx="1832760" cy="5806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xagon_RGB_STANDARD.jpg"/>
                  <pic:cNvPicPr/>
                </pic:nvPicPr>
                <pic:blipFill rotWithShape="1">
                  <a:blip r:embed="rId1">
                    <a:extLst>
                      <a:ext uri="{28A0092B-C50C-407E-A947-70E740481C1C}">
                        <a14:useLocalDpi xmlns:a14="http://schemas.microsoft.com/office/drawing/2010/main" val="0"/>
                      </a:ext>
                    </a:extLst>
                  </a:blip>
                  <a:srcRect l="7223" t="16897" r="6972" b="16632"/>
                  <a:stretch/>
                </pic:blipFill>
                <pic:spPr bwMode="auto">
                  <a:xfrm>
                    <a:off x="0" y="0"/>
                    <a:ext cx="1832760" cy="580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3783"/>
    <w:multiLevelType w:val="hybridMultilevel"/>
    <w:tmpl w:val="B58644AE"/>
    <w:lvl w:ilvl="0" w:tplc="35CE8A90">
      <w:start w:val="1"/>
      <w:numFmt w:val="lowerRoman"/>
      <w:pStyle w:val="MediaReleaseListNumber3"/>
      <w:lvlText w:val="%1."/>
      <w:lvlJc w:val="right"/>
      <w:pPr>
        <w:ind w:left="1837" w:hanging="360"/>
      </w:pPr>
    </w:lvl>
    <w:lvl w:ilvl="1" w:tplc="04090019" w:tentative="1">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1" w15:restartNumberingAfterBreak="0">
    <w:nsid w:val="0F2E7AC3"/>
    <w:multiLevelType w:val="multilevel"/>
    <w:tmpl w:val="1EAC2DB2"/>
    <w:lvl w:ilvl="0">
      <w:start w:val="1"/>
      <w:numFmt w:val="decimal"/>
      <w:pStyle w:val="Sectionheading"/>
      <w:isLgl/>
      <w:lvlText w:val="%1"/>
      <w:lvlJc w:val="left"/>
      <w:pPr>
        <w:tabs>
          <w:tab w:val="num" w:pos="851"/>
        </w:tabs>
        <w:ind w:left="851" w:hanging="851"/>
      </w:pPr>
      <w:rPr>
        <w:rFonts w:ascii="Arial (W1)" w:hAnsi="Arial (W1)" w:hint="default"/>
        <w:b/>
        <w:i w:val="0"/>
        <w:sz w:val="22"/>
      </w:rPr>
    </w:lvl>
    <w:lvl w:ilvl="1">
      <w:start w:val="1"/>
      <w:numFmt w:val="decimal"/>
      <w:pStyle w:val="Section1"/>
      <w:isLgl/>
      <w:lvlText w:val="%1.%2"/>
      <w:lvlJc w:val="left"/>
      <w:pPr>
        <w:tabs>
          <w:tab w:val="num" w:pos="851"/>
        </w:tabs>
        <w:ind w:left="851" w:hanging="851"/>
      </w:pPr>
      <w:rPr>
        <w:rFonts w:ascii="CG Times (W1)" w:hAnsi="CG Times (W1)" w:hint="default"/>
        <w:b w:val="0"/>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2"/>
      <w:isLgl/>
      <w:lvlText w:val="%1.%2.%3"/>
      <w:lvlJc w:val="left"/>
      <w:pPr>
        <w:tabs>
          <w:tab w:val="num" w:pos="851"/>
        </w:tabs>
        <w:ind w:left="851" w:hanging="851"/>
      </w:pPr>
      <w:rPr>
        <w:rFonts w:ascii="CG Times (W1)" w:hAnsi="CG Times (W1)"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ection3"/>
      <w:isLgl/>
      <w:lvlText w:val="%1.%2.%3.%4"/>
      <w:lvlJc w:val="left"/>
      <w:pPr>
        <w:tabs>
          <w:tab w:val="num" w:pos="992"/>
        </w:tabs>
        <w:ind w:left="992" w:hanging="992"/>
      </w:pPr>
      <w:rPr>
        <w:rFonts w:ascii="Arial (W1)" w:hAnsi="Arial (W1)" w:hint="default"/>
        <w:b w:val="0"/>
        <w:i w:val="0"/>
        <w:sz w:val="22"/>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10124469"/>
    <w:multiLevelType w:val="multilevel"/>
    <w:tmpl w:val="78829ED6"/>
    <w:lvl w:ilvl="0">
      <w:start w:val="1"/>
      <w:numFmt w:val="decimal"/>
      <w:pStyle w:val="Doc1"/>
      <w:lvlText w:val="%1."/>
      <w:lvlJc w:val="left"/>
      <w:pPr>
        <w:tabs>
          <w:tab w:val="num" w:pos="0"/>
        </w:tabs>
        <w:ind w:left="425" w:hanging="425"/>
      </w:pPr>
      <w:rPr>
        <w:rFonts w:ascii="Arial Bold" w:hAnsi="Arial Bold" w:hint="default"/>
        <w:b/>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Doc2"/>
      <w:lvlText w:val="(%2)"/>
      <w:lvlJc w:val="left"/>
      <w:pPr>
        <w:tabs>
          <w:tab w:val="num" w:pos="360"/>
        </w:tabs>
        <w:ind w:left="785" w:hanging="425"/>
      </w:pPr>
      <w:rPr>
        <w:rFonts w:ascii="Arial" w:eastAsia="SimSun" w:hAnsi="Arial" w:cs="Arial"/>
        <w:b w:val="0"/>
        <w:bCs/>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Doc3"/>
      <w:lvlText w:val="(%3)"/>
      <w:lvlJc w:val="left"/>
      <w:pPr>
        <w:tabs>
          <w:tab w:val="num" w:pos="284"/>
        </w:tabs>
        <w:ind w:left="710" w:hanging="426"/>
      </w:pPr>
      <w:rPr>
        <w:rFonts w:ascii="Arial" w:eastAsia="SimSun" w:hAnsi="Arial" w:cs="Arial"/>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24"/>
        </w:tabs>
        <w:ind w:left="1724" w:hanging="72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444"/>
        </w:tabs>
        <w:ind w:left="2444" w:hanging="72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164"/>
        </w:tabs>
        <w:ind w:left="3164" w:hanging="720"/>
      </w:pPr>
      <w:rPr>
        <w:rFonts w:ascii="Arial" w:hAnsi="Arial" w:hint="default"/>
        <w:b w:val="0"/>
        <w:i w:val="0"/>
        <w:sz w:val="22"/>
        <w:szCs w:val="22"/>
      </w:rPr>
    </w:lvl>
    <w:lvl w:ilvl="6">
      <w:start w:val="1"/>
      <w:numFmt w:val="none"/>
      <w:suff w:val="space"/>
      <w:lvlText w:val=""/>
      <w:lvlJc w:val="left"/>
      <w:pPr>
        <w:ind w:left="284" w:firstLine="0"/>
      </w:pPr>
      <w:rPr>
        <w:rFonts w:hint="default"/>
      </w:rPr>
    </w:lvl>
    <w:lvl w:ilvl="7">
      <w:start w:val="1"/>
      <w:numFmt w:val="none"/>
      <w:suff w:val="space"/>
      <w:lvlText w:val=""/>
      <w:lvlJc w:val="left"/>
      <w:pPr>
        <w:ind w:left="284" w:firstLine="0"/>
      </w:pPr>
      <w:rPr>
        <w:rFonts w:hint="default"/>
      </w:rPr>
    </w:lvl>
    <w:lvl w:ilvl="8">
      <w:start w:val="1"/>
      <w:numFmt w:val="none"/>
      <w:suff w:val="space"/>
      <w:lvlText w:val=""/>
      <w:lvlJc w:val="left"/>
      <w:pPr>
        <w:ind w:left="284" w:firstLine="0"/>
      </w:pPr>
      <w:rPr>
        <w:rFonts w:hint="default"/>
      </w:rPr>
    </w:lvl>
  </w:abstractNum>
  <w:abstractNum w:abstractNumId="3" w15:restartNumberingAfterBreak="0">
    <w:nsid w:val="11CE304C"/>
    <w:multiLevelType w:val="hybridMultilevel"/>
    <w:tmpl w:val="B96C0992"/>
    <w:lvl w:ilvl="0" w:tplc="14AA05F4">
      <w:start w:val="1"/>
      <w:numFmt w:val="lowerRoman"/>
      <w:pStyle w:val="ListNumber3"/>
      <w:lvlText w:val="%1."/>
      <w:lvlJc w:val="right"/>
      <w:pPr>
        <w:ind w:left="1477" w:hanging="360"/>
      </w:pPr>
      <w:rPr>
        <w:rFonts w:hint="default"/>
        <w:color w:val="080808"/>
      </w:rPr>
    </w:lvl>
    <w:lvl w:ilvl="1" w:tplc="04090019" w:tentative="1">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4" w15:restartNumberingAfterBreak="0">
    <w:nsid w:val="19CE2912"/>
    <w:multiLevelType w:val="multilevel"/>
    <w:tmpl w:val="E52C563A"/>
    <w:lvl w:ilvl="0">
      <w:start w:val="1"/>
      <w:numFmt w:val="decimal"/>
      <w:lvlText w:val="%1."/>
      <w:lvlJc w:val="left"/>
      <w:pPr>
        <w:ind w:left="720" w:hanging="360"/>
      </w:pPr>
      <w:rPr>
        <w:rFonts w:ascii="Arial" w:hAnsi="Arial" w:cs="Arial" w:hint="default"/>
        <w:b/>
        <w:bCs/>
        <w:sz w:val="20"/>
        <w:szCs w:val="20"/>
      </w:rPr>
    </w:lvl>
    <w:lvl w:ilvl="1">
      <w:start w:val="1"/>
      <w:numFmt w:val="decimal"/>
      <w:lvlText w:val="%1.%2."/>
      <w:lvlJc w:val="left"/>
      <w:pPr>
        <w:ind w:left="720" w:hanging="360"/>
      </w:pPr>
      <w:rPr>
        <w:b w:val="0"/>
        <w:bCs w:val="0"/>
        <w:sz w:val="20"/>
        <w:szCs w:val="20"/>
      </w:rPr>
    </w:lvl>
    <w:lvl w:ilvl="2">
      <w:start w:val="1"/>
      <w:numFmt w:val="decimal"/>
      <w:lvlText w:val="%1.%2.%3."/>
      <w:lvlJc w:val="left"/>
      <w:pPr>
        <w:ind w:left="1080" w:hanging="720"/>
      </w:pPr>
      <w:rPr>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FDF62A4"/>
    <w:multiLevelType w:val="multilevel"/>
    <w:tmpl w:val="2A543B4A"/>
    <w:lvl w:ilvl="0">
      <w:start w:val="15"/>
      <w:numFmt w:val="decimal"/>
      <w:lvlText w:val="%1."/>
      <w:lvlJc w:val="left"/>
      <w:pPr>
        <w:ind w:left="450" w:hanging="450"/>
      </w:pPr>
      <w:rPr>
        <w:rFonts w:hint="default"/>
        <w:b/>
      </w:rPr>
    </w:lvl>
    <w:lvl w:ilvl="1">
      <w:start w:val="1"/>
      <w:numFmt w:val="decimal"/>
      <w:lvlText w:val="%1.%2."/>
      <w:lvlJc w:val="left"/>
      <w:pPr>
        <w:ind w:left="1350" w:hanging="450"/>
      </w:pPr>
      <w:rPr>
        <w:rFonts w:hint="default"/>
        <w:b w:val="0"/>
        <w:bCs/>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6" w15:restartNumberingAfterBreak="0">
    <w:nsid w:val="20064B98"/>
    <w:multiLevelType w:val="multilevel"/>
    <w:tmpl w:val="5D7E22CA"/>
    <w:numStyleLink w:val="DownerNumberedList"/>
  </w:abstractNum>
  <w:abstractNum w:abstractNumId="7" w15:restartNumberingAfterBreak="0">
    <w:nsid w:val="24266E8E"/>
    <w:multiLevelType w:val="multilevel"/>
    <w:tmpl w:val="F886D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083C65"/>
    <w:multiLevelType w:val="hybridMultilevel"/>
    <w:tmpl w:val="7E202AC8"/>
    <w:lvl w:ilvl="0" w:tplc="53B6C774">
      <w:start w:val="1"/>
      <w:numFmt w:val="bullet"/>
      <w:pStyle w:val="ListBullet4"/>
      <w:lvlText w:val=""/>
      <w:lvlJc w:val="left"/>
      <w:pPr>
        <w:ind w:left="2189" w:hanging="360"/>
      </w:pPr>
      <w:rPr>
        <w:rFonts w:ascii="Symbol" w:hAnsi="Symbol" w:hint="default"/>
        <w:color w:val="080808"/>
      </w:rPr>
    </w:lvl>
    <w:lvl w:ilvl="1" w:tplc="04090003" w:tentative="1">
      <w:start w:val="1"/>
      <w:numFmt w:val="bullet"/>
      <w:lvlText w:val="o"/>
      <w:lvlJc w:val="left"/>
      <w:pPr>
        <w:ind w:left="2909" w:hanging="360"/>
      </w:pPr>
      <w:rPr>
        <w:rFonts w:ascii="Courier New" w:hAnsi="Courier New" w:cs="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cs="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cs="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9" w15:restartNumberingAfterBreak="0">
    <w:nsid w:val="2AE41C17"/>
    <w:multiLevelType w:val="hybridMultilevel"/>
    <w:tmpl w:val="C75ED38A"/>
    <w:lvl w:ilvl="0" w:tplc="8982A6AA">
      <w:start w:val="1"/>
      <w:numFmt w:val="bullet"/>
      <w:pStyle w:val="ListBullet5"/>
      <w:lvlText w:val=""/>
      <w:lvlJc w:val="left"/>
      <w:pPr>
        <w:ind w:left="2931" w:hanging="360"/>
      </w:pPr>
      <w:rPr>
        <w:rFonts w:ascii="Symbol" w:hAnsi="Symbol" w:hint="default"/>
        <w:color w:val="080808"/>
      </w:rPr>
    </w:lvl>
    <w:lvl w:ilvl="1" w:tplc="04090003" w:tentative="1">
      <w:start w:val="1"/>
      <w:numFmt w:val="bullet"/>
      <w:lvlText w:val="o"/>
      <w:lvlJc w:val="left"/>
      <w:pPr>
        <w:ind w:left="3651" w:hanging="360"/>
      </w:pPr>
      <w:rPr>
        <w:rFonts w:ascii="Courier New" w:hAnsi="Courier New" w:cs="Courier New" w:hint="default"/>
      </w:rPr>
    </w:lvl>
    <w:lvl w:ilvl="2" w:tplc="04090005" w:tentative="1">
      <w:start w:val="1"/>
      <w:numFmt w:val="bullet"/>
      <w:lvlText w:val=""/>
      <w:lvlJc w:val="left"/>
      <w:pPr>
        <w:ind w:left="4371" w:hanging="360"/>
      </w:pPr>
      <w:rPr>
        <w:rFonts w:ascii="Wingdings" w:hAnsi="Wingdings" w:hint="default"/>
      </w:rPr>
    </w:lvl>
    <w:lvl w:ilvl="3" w:tplc="04090001" w:tentative="1">
      <w:start w:val="1"/>
      <w:numFmt w:val="bullet"/>
      <w:lvlText w:val=""/>
      <w:lvlJc w:val="left"/>
      <w:pPr>
        <w:ind w:left="5091" w:hanging="360"/>
      </w:pPr>
      <w:rPr>
        <w:rFonts w:ascii="Symbol" w:hAnsi="Symbol" w:hint="default"/>
      </w:rPr>
    </w:lvl>
    <w:lvl w:ilvl="4" w:tplc="04090003" w:tentative="1">
      <w:start w:val="1"/>
      <w:numFmt w:val="bullet"/>
      <w:lvlText w:val="o"/>
      <w:lvlJc w:val="left"/>
      <w:pPr>
        <w:ind w:left="5811" w:hanging="360"/>
      </w:pPr>
      <w:rPr>
        <w:rFonts w:ascii="Courier New" w:hAnsi="Courier New" w:cs="Courier New" w:hint="default"/>
      </w:rPr>
    </w:lvl>
    <w:lvl w:ilvl="5" w:tplc="04090005" w:tentative="1">
      <w:start w:val="1"/>
      <w:numFmt w:val="bullet"/>
      <w:lvlText w:val=""/>
      <w:lvlJc w:val="left"/>
      <w:pPr>
        <w:ind w:left="6531" w:hanging="360"/>
      </w:pPr>
      <w:rPr>
        <w:rFonts w:ascii="Wingdings" w:hAnsi="Wingdings" w:hint="default"/>
      </w:rPr>
    </w:lvl>
    <w:lvl w:ilvl="6" w:tplc="04090001" w:tentative="1">
      <w:start w:val="1"/>
      <w:numFmt w:val="bullet"/>
      <w:lvlText w:val=""/>
      <w:lvlJc w:val="left"/>
      <w:pPr>
        <w:ind w:left="7251" w:hanging="360"/>
      </w:pPr>
      <w:rPr>
        <w:rFonts w:ascii="Symbol" w:hAnsi="Symbol" w:hint="default"/>
      </w:rPr>
    </w:lvl>
    <w:lvl w:ilvl="7" w:tplc="04090003" w:tentative="1">
      <w:start w:val="1"/>
      <w:numFmt w:val="bullet"/>
      <w:lvlText w:val="o"/>
      <w:lvlJc w:val="left"/>
      <w:pPr>
        <w:ind w:left="7971" w:hanging="360"/>
      </w:pPr>
      <w:rPr>
        <w:rFonts w:ascii="Courier New" w:hAnsi="Courier New" w:cs="Courier New" w:hint="default"/>
      </w:rPr>
    </w:lvl>
    <w:lvl w:ilvl="8" w:tplc="04090005" w:tentative="1">
      <w:start w:val="1"/>
      <w:numFmt w:val="bullet"/>
      <w:lvlText w:val=""/>
      <w:lvlJc w:val="left"/>
      <w:pPr>
        <w:ind w:left="8691" w:hanging="360"/>
      </w:pPr>
      <w:rPr>
        <w:rFonts w:ascii="Wingdings" w:hAnsi="Wingdings" w:hint="default"/>
      </w:rPr>
    </w:lvl>
  </w:abstractNum>
  <w:abstractNum w:abstractNumId="10" w15:restartNumberingAfterBreak="0">
    <w:nsid w:val="2C126855"/>
    <w:multiLevelType w:val="hybridMultilevel"/>
    <w:tmpl w:val="F8A4616C"/>
    <w:lvl w:ilvl="0" w:tplc="C136E126">
      <w:start w:val="1"/>
      <w:numFmt w:val="bullet"/>
      <w:pStyle w:val="ListBullet2"/>
      <w:lvlText w:val=""/>
      <w:lvlJc w:val="left"/>
      <w:pPr>
        <w:ind w:left="1536" w:hanging="360"/>
      </w:pPr>
      <w:rPr>
        <w:rFonts w:ascii="Symbol" w:hAnsi="Symbol" w:hint="default"/>
        <w:color w:val="080808"/>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1" w15:restartNumberingAfterBreak="0">
    <w:nsid w:val="2CFD2F28"/>
    <w:multiLevelType w:val="multilevel"/>
    <w:tmpl w:val="5D7E22CA"/>
    <w:styleLink w:val="DownerNumberedList"/>
    <w:lvl w:ilvl="0">
      <w:start w:val="1"/>
      <w:numFmt w:val="decimal"/>
      <w:lvlText w:val="%1"/>
      <w:lvlJc w:val="left"/>
      <w:pPr>
        <w:ind w:left="567" w:hanging="567"/>
      </w:pPr>
      <w:rPr>
        <w:rFonts w:ascii="Arial Bold" w:hAnsi="Arial Bold" w:hint="default"/>
        <w:b/>
        <w:caps/>
        <w:smallCaps w:val="0"/>
        <w:sz w:val="16"/>
      </w:rPr>
    </w:lvl>
    <w:lvl w:ilvl="1">
      <w:start w:val="1"/>
      <w:numFmt w:val="decimal"/>
      <w:pStyle w:val="DownerListNumber2"/>
      <w:lvlText w:val="%1.%2"/>
      <w:lvlJc w:val="left"/>
      <w:pPr>
        <w:ind w:left="567" w:hanging="567"/>
      </w:pPr>
      <w:rPr>
        <w:rFonts w:ascii="Arial Bold" w:hAnsi="Arial Bold" w:hint="default"/>
        <w:b/>
        <w:i w:val="0"/>
        <w:sz w:val="16"/>
      </w:rPr>
    </w:lvl>
    <w:lvl w:ilvl="2">
      <w:start w:val="1"/>
      <w:numFmt w:val="none"/>
      <w:suff w:val="nothing"/>
      <w:lvlText w:val="%3"/>
      <w:lvlJc w:val="left"/>
      <w:pPr>
        <w:ind w:left="0" w:firstLine="0"/>
      </w:pPr>
      <w:rPr>
        <w:rFonts w:ascii="Arial" w:hAnsi="Arial" w:hint="default"/>
        <w:sz w:val="16"/>
      </w:rPr>
    </w:lvl>
    <w:lvl w:ilvl="3">
      <w:start w:val="1"/>
      <w:numFmt w:val="lowerLetter"/>
      <w:pStyle w:val="DownerListNumber4"/>
      <w:lvlText w:val="(%4)"/>
      <w:lvlJc w:val="left"/>
      <w:pPr>
        <w:ind w:left="567" w:hanging="567"/>
      </w:pPr>
      <w:rPr>
        <w:rFonts w:ascii="Arial" w:hAnsi="Arial" w:hint="default"/>
        <w:sz w:val="16"/>
      </w:rPr>
    </w:lvl>
    <w:lvl w:ilvl="4">
      <w:start w:val="1"/>
      <w:numFmt w:val="lowerRoman"/>
      <w:pStyle w:val="DownerListNumber5"/>
      <w:lvlText w:val="(%5)"/>
      <w:lvlJc w:val="left"/>
      <w:pPr>
        <w:ind w:left="1134" w:hanging="567"/>
      </w:pPr>
      <w:rPr>
        <w:rFonts w:ascii="Arial" w:hAnsi="Arial" w:hint="default"/>
        <w:sz w:val="16"/>
      </w:rPr>
    </w:lvl>
    <w:lvl w:ilvl="5">
      <w:start w:val="1"/>
      <w:numFmt w:val="upperLetter"/>
      <w:pStyle w:val="DownerListNumber6"/>
      <w:lvlText w:val="(%6)"/>
      <w:lvlJc w:val="left"/>
      <w:pPr>
        <w:ind w:left="1701" w:hanging="567"/>
      </w:pPr>
      <w:rPr>
        <w:rFonts w:ascii="Arial" w:hAnsi="Arial" w:hint="default"/>
        <w:sz w:val="16"/>
      </w:rPr>
    </w:lvl>
    <w:lvl w:ilvl="6">
      <w:start w:val="1"/>
      <w:numFmt w:val="decimal"/>
      <w:lvlText w:val="%7."/>
      <w:lvlJc w:val="left"/>
      <w:pPr>
        <w:tabs>
          <w:tab w:val="num" w:pos="8225"/>
        </w:tabs>
        <w:ind w:left="567" w:hanging="567"/>
      </w:pPr>
      <w:rPr>
        <w:rFonts w:hint="default"/>
      </w:rPr>
    </w:lvl>
    <w:lvl w:ilvl="7">
      <w:start w:val="1"/>
      <w:numFmt w:val="lowerLetter"/>
      <w:lvlText w:val="%8."/>
      <w:lvlJc w:val="left"/>
      <w:pPr>
        <w:tabs>
          <w:tab w:val="num" w:pos="9076"/>
        </w:tabs>
        <w:ind w:left="567" w:hanging="567"/>
      </w:pPr>
      <w:rPr>
        <w:rFonts w:hint="default"/>
      </w:rPr>
    </w:lvl>
    <w:lvl w:ilvl="8">
      <w:start w:val="1"/>
      <w:numFmt w:val="lowerRoman"/>
      <w:lvlText w:val="%9."/>
      <w:lvlJc w:val="left"/>
      <w:pPr>
        <w:tabs>
          <w:tab w:val="num" w:pos="9927"/>
        </w:tabs>
        <w:ind w:left="567" w:hanging="567"/>
      </w:pPr>
      <w:rPr>
        <w:rFonts w:hint="default"/>
      </w:rPr>
    </w:lvl>
  </w:abstractNum>
  <w:abstractNum w:abstractNumId="12" w15:restartNumberingAfterBreak="0">
    <w:nsid w:val="2D955FF0"/>
    <w:multiLevelType w:val="hybridMultilevel"/>
    <w:tmpl w:val="CBA63352"/>
    <w:lvl w:ilvl="0" w:tplc="BF2CB11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DC63762"/>
    <w:multiLevelType w:val="multilevel"/>
    <w:tmpl w:val="369ED9FC"/>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AB268C"/>
    <w:multiLevelType w:val="hybridMultilevel"/>
    <w:tmpl w:val="E224FC9C"/>
    <w:lvl w:ilvl="0" w:tplc="626647A8">
      <w:start w:val="1"/>
      <w:numFmt w:val="decimal"/>
      <w:pStyle w:val="MediaReleaseListNumber1"/>
      <w:lvlText w:val="%1."/>
      <w:lvlJc w:val="left"/>
      <w:pPr>
        <w:ind w:left="1474" w:hanging="360"/>
      </w:p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15" w15:restartNumberingAfterBreak="0">
    <w:nsid w:val="365D48EB"/>
    <w:multiLevelType w:val="hybridMultilevel"/>
    <w:tmpl w:val="3E967824"/>
    <w:lvl w:ilvl="0" w:tplc="1ADCC63C">
      <w:start w:val="1"/>
      <w:numFmt w:val="lowerLetter"/>
      <w:pStyle w:val="MediaReleaseListNumber2"/>
      <w:lvlText w:val="%1."/>
      <w:lvlJc w:val="left"/>
      <w:pPr>
        <w:ind w:left="1497" w:hanging="360"/>
      </w:p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6" w15:restartNumberingAfterBreak="0">
    <w:nsid w:val="4237051A"/>
    <w:multiLevelType w:val="multilevel"/>
    <w:tmpl w:val="B756EC9A"/>
    <w:lvl w:ilvl="0">
      <w:start w:val="14"/>
      <w:numFmt w:val="decimal"/>
      <w:lvlText w:val="%1."/>
      <w:lvlJc w:val="left"/>
      <w:pPr>
        <w:ind w:left="450" w:hanging="450"/>
      </w:pPr>
      <w:rPr>
        <w:rFonts w:eastAsiaTheme="minorHAnsi" w:hint="default"/>
        <w:b/>
      </w:rPr>
    </w:lvl>
    <w:lvl w:ilvl="1">
      <w:start w:val="3"/>
      <w:numFmt w:val="decimal"/>
      <w:lvlText w:val="%1.%2."/>
      <w:lvlJc w:val="left"/>
      <w:pPr>
        <w:ind w:left="450" w:hanging="45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7" w15:restartNumberingAfterBreak="0">
    <w:nsid w:val="4E294299"/>
    <w:multiLevelType w:val="hybridMultilevel"/>
    <w:tmpl w:val="A972FE00"/>
    <w:lvl w:ilvl="0" w:tplc="DF2E8E00">
      <w:start w:val="1"/>
      <w:numFmt w:val="lowerLetter"/>
      <w:pStyle w:val="ListNumber2"/>
      <w:lvlText w:val="%1."/>
      <w:lvlJc w:val="right"/>
      <w:pPr>
        <w:ind w:left="1497" w:hanging="360"/>
      </w:pPr>
      <w:rPr>
        <w:rFonts w:hint="default"/>
        <w:color w:val="080808"/>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8" w15:restartNumberingAfterBreak="0">
    <w:nsid w:val="4F7C7C6D"/>
    <w:multiLevelType w:val="multilevel"/>
    <w:tmpl w:val="4B8A83FE"/>
    <w:styleLink w:val="HMIBullets"/>
    <w:lvl w:ilvl="0">
      <w:start w:val="1"/>
      <w:numFmt w:val="bullet"/>
      <w:pStyle w:val="ListBullet"/>
      <w:lvlText w:val=""/>
      <w:lvlJc w:val="left"/>
      <w:pPr>
        <w:ind w:left="746" w:hanging="360"/>
      </w:pPr>
      <w:rPr>
        <w:rFonts w:ascii="Symbol" w:hAnsi="Symbol" w:hint="default"/>
        <w:color w:val="080808"/>
      </w:rPr>
    </w:lvl>
    <w:lvl w:ilvl="1">
      <w:start w:val="1"/>
      <w:numFmt w:val="bullet"/>
      <w:lvlText w:val=""/>
      <w:lvlJc w:val="left"/>
      <w:pPr>
        <w:tabs>
          <w:tab w:val="num" w:pos="1111"/>
        </w:tabs>
        <w:ind w:left="1111" w:hanging="357"/>
      </w:pPr>
      <w:rPr>
        <w:rFonts w:ascii="Symbol" w:hAnsi="Symbol" w:hint="default"/>
        <w:color w:val="0097BA"/>
      </w:rPr>
    </w:lvl>
    <w:lvl w:ilvl="2">
      <w:start w:val="1"/>
      <w:numFmt w:val="bullet"/>
      <w:lvlText w:val=""/>
      <w:lvlJc w:val="left"/>
      <w:pPr>
        <w:tabs>
          <w:tab w:val="num" w:pos="1469"/>
        </w:tabs>
        <w:ind w:left="1469" w:hanging="358"/>
      </w:pPr>
      <w:rPr>
        <w:rFonts w:ascii="Symbol" w:hAnsi="Symbol" w:hint="default"/>
        <w:color w:val="0097BA"/>
      </w:rPr>
    </w:lvl>
    <w:lvl w:ilvl="3">
      <w:start w:val="1"/>
      <w:numFmt w:val="bullet"/>
      <w:lvlText w:val=""/>
      <w:lvlJc w:val="left"/>
      <w:pPr>
        <w:tabs>
          <w:tab w:val="num" w:pos="1826"/>
        </w:tabs>
        <w:ind w:left="1826" w:hanging="357"/>
      </w:pPr>
      <w:rPr>
        <w:rFonts w:ascii="Symbol" w:hAnsi="Symbol" w:hint="default"/>
        <w:color w:val="0097BA"/>
      </w:rPr>
    </w:lvl>
    <w:lvl w:ilvl="4">
      <w:start w:val="1"/>
      <w:numFmt w:val="bullet"/>
      <w:lvlText w:val=""/>
      <w:lvlJc w:val="left"/>
      <w:pPr>
        <w:tabs>
          <w:tab w:val="num" w:pos="2183"/>
        </w:tabs>
        <w:ind w:left="2183" w:hanging="357"/>
      </w:pPr>
      <w:rPr>
        <w:rFonts w:ascii="Symbol" w:hAnsi="Symbol" w:hint="default"/>
        <w:color w:val="0097BA"/>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8C4241"/>
    <w:multiLevelType w:val="hybridMultilevel"/>
    <w:tmpl w:val="B636C84C"/>
    <w:lvl w:ilvl="0" w:tplc="DAB010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D559E"/>
    <w:multiLevelType w:val="multilevel"/>
    <w:tmpl w:val="03B20CF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1BA6653"/>
    <w:multiLevelType w:val="multilevel"/>
    <w:tmpl w:val="5D7E22CA"/>
    <w:numStyleLink w:val="DownerNumberedList"/>
  </w:abstractNum>
  <w:abstractNum w:abstractNumId="22" w15:restartNumberingAfterBreak="0">
    <w:nsid w:val="62E53133"/>
    <w:multiLevelType w:val="hybridMultilevel"/>
    <w:tmpl w:val="8676BEB2"/>
    <w:lvl w:ilvl="0" w:tplc="3FE80442">
      <w:start w:val="4"/>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43D9B"/>
    <w:multiLevelType w:val="multilevel"/>
    <w:tmpl w:val="51E2C3EC"/>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6FA5A77"/>
    <w:multiLevelType w:val="hybridMultilevel"/>
    <w:tmpl w:val="A05C975A"/>
    <w:lvl w:ilvl="0" w:tplc="F61C229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B4B705A"/>
    <w:multiLevelType w:val="hybridMultilevel"/>
    <w:tmpl w:val="2EA283FC"/>
    <w:lvl w:ilvl="0" w:tplc="DC7E812A">
      <w:start w:val="1"/>
      <w:numFmt w:val="bullet"/>
      <w:pStyle w:val="ListBullet3"/>
      <w:lvlText w:val=""/>
      <w:lvlJc w:val="left"/>
      <w:pPr>
        <w:ind w:left="1831" w:hanging="360"/>
      </w:pPr>
      <w:rPr>
        <w:rFonts w:ascii="Symbol" w:hAnsi="Symbol" w:hint="default"/>
        <w:color w:val="080808"/>
      </w:rPr>
    </w:lvl>
    <w:lvl w:ilvl="1" w:tplc="04090003" w:tentative="1">
      <w:start w:val="1"/>
      <w:numFmt w:val="bullet"/>
      <w:lvlText w:val="o"/>
      <w:lvlJc w:val="left"/>
      <w:pPr>
        <w:ind w:left="2551" w:hanging="360"/>
      </w:pPr>
      <w:rPr>
        <w:rFonts w:ascii="Courier New" w:hAnsi="Courier New" w:cs="Courier New" w:hint="default"/>
      </w:rPr>
    </w:lvl>
    <w:lvl w:ilvl="2" w:tplc="04090005" w:tentative="1">
      <w:start w:val="1"/>
      <w:numFmt w:val="bullet"/>
      <w:lvlText w:val=""/>
      <w:lvlJc w:val="left"/>
      <w:pPr>
        <w:ind w:left="3271" w:hanging="360"/>
      </w:pPr>
      <w:rPr>
        <w:rFonts w:ascii="Wingdings" w:hAnsi="Wingdings" w:hint="default"/>
      </w:rPr>
    </w:lvl>
    <w:lvl w:ilvl="3" w:tplc="04090001" w:tentative="1">
      <w:start w:val="1"/>
      <w:numFmt w:val="bullet"/>
      <w:lvlText w:val=""/>
      <w:lvlJc w:val="left"/>
      <w:pPr>
        <w:ind w:left="3991" w:hanging="360"/>
      </w:pPr>
      <w:rPr>
        <w:rFonts w:ascii="Symbol" w:hAnsi="Symbol" w:hint="default"/>
      </w:rPr>
    </w:lvl>
    <w:lvl w:ilvl="4" w:tplc="04090003" w:tentative="1">
      <w:start w:val="1"/>
      <w:numFmt w:val="bullet"/>
      <w:lvlText w:val="o"/>
      <w:lvlJc w:val="left"/>
      <w:pPr>
        <w:ind w:left="4711" w:hanging="360"/>
      </w:pPr>
      <w:rPr>
        <w:rFonts w:ascii="Courier New" w:hAnsi="Courier New" w:cs="Courier New" w:hint="default"/>
      </w:rPr>
    </w:lvl>
    <w:lvl w:ilvl="5" w:tplc="04090005" w:tentative="1">
      <w:start w:val="1"/>
      <w:numFmt w:val="bullet"/>
      <w:lvlText w:val=""/>
      <w:lvlJc w:val="left"/>
      <w:pPr>
        <w:ind w:left="5431" w:hanging="360"/>
      </w:pPr>
      <w:rPr>
        <w:rFonts w:ascii="Wingdings" w:hAnsi="Wingdings" w:hint="default"/>
      </w:rPr>
    </w:lvl>
    <w:lvl w:ilvl="6" w:tplc="04090001" w:tentative="1">
      <w:start w:val="1"/>
      <w:numFmt w:val="bullet"/>
      <w:lvlText w:val=""/>
      <w:lvlJc w:val="left"/>
      <w:pPr>
        <w:ind w:left="6151" w:hanging="360"/>
      </w:pPr>
      <w:rPr>
        <w:rFonts w:ascii="Symbol" w:hAnsi="Symbol" w:hint="default"/>
      </w:rPr>
    </w:lvl>
    <w:lvl w:ilvl="7" w:tplc="04090003" w:tentative="1">
      <w:start w:val="1"/>
      <w:numFmt w:val="bullet"/>
      <w:lvlText w:val="o"/>
      <w:lvlJc w:val="left"/>
      <w:pPr>
        <w:ind w:left="6871" w:hanging="360"/>
      </w:pPr>
      <w:rPr>
        <w:rFonts w:ascii="Courier New" w:hAnsi="Courier New" w:cs="Courier New" w:hint="default"/>
      </w:rPr>
    </w:lvl>
    <w:lvl w:ilvl="8" w:tplc="04090005" w:tentative="1">
      <w:start w:val="1"/>
      <w:numFmt w:val="bullet"/>
      <w:lvlText w:val=""/>
      <w:lvlJc w:val="left"/>
      <w:pPr>
        <w:ind w:left="7591" w:hanging="360"/>
      </w:pPr>
      <w:rPr>
        <w:rFonts w:ascii="Wingdings" w:hAnsi="Wingdings" w:hint="default"/>
      </w:rPr>
    </w:lvl>
  </w:abstractNum>
  <w:abstractNum w:abstractNumId="26" w15:restartNumberingAfterBreak="0">
    <w:nsid w:val="6B5328C3"/>
    <w:multiLevelType w:val="multilevel"/>
    <w:tmpl w:val="6CF8F1B4"/>
    <w:lvl w:ilvl="0">
      <w:start w:val="1"/>
      <w:numFmt w:val="decimal"/>
      <w:pStyle w:val="TCH2"/>
      <w:lvlText w:val="%1"/>
      <w:lvlJc w:val="left"/>
      <w:pPr>
        <w:ind w:left="680" w:hanging="680"/>
      </w:pPr>
      <w:rPr>
        <w:rFonts w:ascii="Arial" w:hAnsi="Arial" w:cs="Arial" w:hint="default"/>
        <w:b/>
        <w:i w:val="0"/>
        <w:sz w:val="20"/>
        <w:szCs w:val="20"/>
      </w:rPr>
    </w:lvl>
    <w:lvl w:ilvl="1">
      <w:start w:val="1"/>
      <w:numFmt w:val="decimal"/>
      <w:pStyle w:val="TCH3"/>
      <w:lvlText w:val="%2."/>
      <w:lvlJc w:val="left"/>
      <w:pPr>
        <w:ind w:left="360" w:hanging="360"/>
      </w:pPr>
      <w:rPr>
        <w:rFonts w:hint="default"/>
        <w:b/>
        <w:i w:val="0"/>
        <w:sz w:val="17"/>
      </w:rPr>
    </w:lvl>
    <w:lvl w:ilvl="2">
      <w:start w:val="1"/>
      <w:numFmt w:val="lowerLetter"/>
      <w:pStyle w:val="TCLevel1"/>
      <w:lvlText w:val="(%3)"/>
      <w:lvlJc w:val="left"/>
      <w:pPr>
        <w:ind w:left="360" w:hanging="360"/>
      </w:pPr>
      <w:rPr>
        <w:rFonts w:hint="default"/>
        <w:sz w:val="16"/>
        <w:szCs w:val="16"/>
      </w:rPr>
    </w:lvl>
    <w:lvl w:ilvl="3">
      <w:start w:val="1"/>
      <w:numFmt w:val="lowerRoman"/>
      <w:pStyle w:val="TCLevel2"/>
      <w:lvlText w:val="(%4)"/>
      <w:lvlJc w:val="left"/>
      <w:pPr>
        <w:ind w:left="1361" w:hanging="681"/>
      </w:pPr>
      <w:rPr>
        <w:rFonts w:ascii="Calibri" w:hAnsi="Calibri" w:hint="default"/>
        <w:b w:val="0"/>
        <w:i w:val="0"/>
        <w:sz w:val="17"/>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D746DE"/>
    <w:multiLevelType w:val="multilevel"/>
    <w:tmpl w:val="FD460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FC5BB1"/>
    <w:multiLevelType w:val="multilevel"/>
    <w:tmpl w:val="FD2E6B9C"/>
    <w:styleLink w:val="HMIListNumbers"/>
    <w:lvl w:ilvl="0">
      <w:start w:val="1"/>
      <w:numFmt w:val="decimal"/>
      <w:pStyle w:val="ListNumber"/>
      <w:lvlText w:val="%1."/>
      <w:lvlJc w:val="right"/>
      <w:pPr>
        <w:ind w:left="740" w:hanging="360"/>
      </w:pPr>
      <w:rPr>
        <w:rFonts w:hint="default"/>
        <w:color w:val="080808"/>
      </w:rPr>
    </w:lvl>
    <w:lvl w:ilvl="1">
      <w:start w:val="1"/>
      <w:numFmt w:val="lowerLetter"/>
      <w:lvlText w:val="%2."/>
      <w:lvlJc w:val="left"/>
      <w:pPr>
        <w:tabs>
          <w:tab w:val="num" w:pos="1111"/>
        </w:tabs>
        <w:ind w:left="1111" w:hanging="357"/>
      </w:pPr>
      <w:rPr>
        <w:rFonts w:hint="default"/>
        <w:color w:val="0097BA"/>
      </w:rPr>
    </w:lvl>
    <w:lvl w:ilvl="2">
      <w:start w:val="1"/>
      <w:numFmt w:val="lowerRoman"/>
      <w:lvlText w:val="%3."/>
      <w:lvlJc w:val="left"/>
      <w:pPr>
        <w:tabs>
          <w:tab w:val="num" w:pos="1469"/>
        </w:tabs>
        <w:ind w:left="1469" w:hanging="358"/>
      </w:pPr>
      <w:rPr>
        <w:rFonts w:hint="default"/>
        <w:color w:val="0097B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13"/>
  </w:num>
  <w:num w:numId="3">
    <w:abstractNumId w:val="18"/>
  </w:num>
  <w:num w:numId="4">
    <w:abstractNumId w:val="28"/>
  </w:num>
  <w:num w:numId="5">
    <w:abstractNumId w:val="18"/>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5"/>
  </w:num>
  <w:num w:numId="14">
    <w:abstractNumId w:val="8"/>
  </w:num>
  <w:num w:numId="15">
    <w:abstractNumId w:val="9"/>
  </w:num>
  <w:num w:numId="16">
    <w:abstractNumId w:val="14"/>
  </w:num>
  <w:num w:numId="17">
    <w:abstractNumId w:val="15"/>
  </w:num>
  <w:num w:numId="18">
    <w:abstractNumId w:val="0"/>
  </w:num>
  <w:num w:numId="19">
    <w:abstractNumId w:val="17"/>
  </w:num>
  <w:num w:numId="20">
    <w:abstractNumId w:val="17"/>
    <w:lvlOverride w:ilvl="0">
      <w:startOverride w:val="1"/>
    </w:lvlOverride>
  </w:num>
  <w:num w:numId="21">
    <w:abstractNumId w:val="3"/>
  </w:num>
  <w:num w:numId="22">
    <w:abstractNumId w:val="3"/>
    <w:lvlOverride w:ilvl="0">
      <w:startOverride w:val="1"/>
    </w:lvlOverride>
  </w:num>
  <w:num w:numId="23">
    <w:abstractNumId w:val="1"/>
  </w:num>
  <w:num w:numId="24">
    <w:abstractNumId w:val="7"/>
  </w:num>
  <w:num w:numId="25">
    <w:abstractNumId w:val="22"/>
  </w:num>
  <w:num w:numId="26">
    <w:abstractNumId w:val="26"/>
  </w:num>
  <w:num w:numId="27">
    <w:abstractNumId w:val="11"/>
  </w:num>
  <w:num w:numId="28">
    <w:abstractNumId w:val="21"/>
    <w:lvlOverride w:ilvl="0">
      <w:startOverride w:val="1"/>
      <w:lvl w:ilvl="0">
        <w:start w:val="1"/>
        <w:numFmt w:val="decimal"/>
        <w:lvlText w:val="%1"/>
        <w:lvlJc w:val="left"/>
        <w:pPr>
          <w:ind w:left="567" w:hanging="567"/>
        </w:pPr>
        <w:rPr>
          <w:rFonts w:ascii="Arial Bold" w:hAnsi="Arial Bold" w:hint="default"/>
          <w:b/>
          <w:caps/>
          <w:smallCaps w:val="0"/>
          <w:sz w:val="16"/>
        </w:rPr>
      </w:lvl>
    </w:lvlOverride>
    <w:lvlOverride w:ilvl="1">
      <w:startOverride w:val="1"/>
      <w:lvl w:ilvl="1">
        <w:start w:val="1"/>
        <w:numFmt w:val="decimal"/>
        <w:pStyle w:val="DownerListNumber2"/>
        <w:lvlText w:val="%1.%2"/>
        <w:lvlJc w:val="left"/>
        <w:pPr>
          <w:ind w:left="567" w:hanging="567"/>
        </w:pPr>
        <w:rPr>
          <w:rFonts w:ascii="Arial Bold" w:hAnsi="Arial Bold" w:hint="default"/>
          <w:b/>
          <w:i w:val="0"/>
          <w:sz w:val="16"/>
        </w:rPr>
      </w:lvl>
    </w:lvlOverride>
    <w:lvlOverride w:ilvl="2">
      <w:startOverride w:val="1"/>
      <w:lvl w:ilvl="2">
        <w:start w:val="1"/>
        <w:numFmt w:val="none"/>
        <w:suff w:val="nothing"/>
        <w:lvlText w:val="%3"/>
        <w:lvlJc w:val="left"/>
        <w:pPr>
          <w:ind w:left="0" w:firstLine="0"/>
        </w:pPr>
        <w:rPr>
          <w:rFonts w:ascii="Arial" w:hAnsi="Arial" w:hint="default"/>
          <w:sz w:val="16"/>
        </w:rPr>
      </w:lvl>
    </w:lvlOverride>
    <w:lvlOverride w:ilvl="3">
      <w:startOverride w:val="1"/>
      <w:lvl w:ilvl="3">
        <w:start w:val="1"/>
        <w:numFmt w:val="lowerLetter"/>
        <w:pStyle w:val="DownerListNumber4"/>
        <w:lvlText w:val="(%4)"/>
        <w:lvlJc w:val="left"/>
        <w:pPr>
          <w:ind w:left="567" w:hanging="567"/>
        </w:pPr>
        <w:rPr>
          <w:rFonts w:ascii="Arial" w:hAnsi="Arial" w:hint="default"/>
          <w:sz w:val="16"/>
        </w:rPr>
      </w:lvl>
    </w:lvlOverride>
    <w:lvlOverride w:ilvl="4">
      <w:startOverride w:val="1"/>
      <w:lvl w:ilvl="4">
        <w:start w:val="1"/>
        <w:numFmt w:val="lowerRoman"/>
        <w:pStyle w:val="DownerListNumber5"/>
        <w:lvlText w:val="(%5)"/>
        <w:lvlJc w:val="left"/>
        <w:pPr>
          <w:ind w:left="1134" w:hanging="567"/>
        </w:pPr>
        <w:rPr>
          <w:rFonts w:ascii="Arial" w:hAnsi="Arial" w:hint="default"/>
          <w:sz w:val="16"/>
        </w:rPr>
      </w:lvl>
    </w:lvlOverride>
    <w:lvlOverride w:ilvl="5">
      <w:startOverride w:val="1"/>
      <w:lvl w:ilvl="5">
        <w:start w:val="1"/>
        <w:numFmt w:val="upperLetter"/>
        <w:pStyle w:val="DownerListNumber6"/>
        <w:lvlText w:val="(%6)"/>
        <w:lvlJc w:val="left"/>
        <w:pPr>
          <w:ind w:left="1701" w:hanging="567"/>
        </w:pPr>
        <w:rPr>
          <w:rFonts w:ascii="Arial" w:hAnsi="Arial" w:hint="default"/>
          <w:sz w:val="16"/>
        </w:rPr>
      </w:lvl>
    </w:lvlOverride>
    <w:lvlOverride w:ilvl="6">
      <w:startOverride w:val="1"/>
      <w:lvl w:ilvl="6">
        <w:start w:val="1"/>
        <w:numFmt w:val="decimal"/>
        <w:lvlText w:val="%7."/>
        <w:lvlJc w:val="left"/>
        <w:pPr>
          <w:tabs>
            <w:tab w:val="num" w:pos="8225"/>
          </w:tabs>
          <w:ind w:left="567" w:hanging="567"/>
        </w:pPr>
        <w:rPr>
          <w:rFonts w:hint="default"/>
        </w:rPr>
      </w:lvl>
    </w:lvlOverride>
    <w:lvlOverride w:ilvl="7">
      <w:startOverride w:val="1"/>
      <w:lvl w:ilvl="7">
        <w:start w:val="1"/>
        <w:numFmt w:val="lowerLetter"/>
        <w:lvlText w:val="%8."/>
        <w:lvlJc w:val="left"/>
        <w:pPr>
          <w:tabs>
            <w:tab w:val="num" w:pos="9076"/>
          </w:tabs>
          <w:ind w:left="567" w:hanging="567"/>
        </w:pPr>
        <w:rPr>
          <w:rFonts w:hint="default"/>
        </w:rPr>
      </w:lvl>
    </w:lvlOverride>
    <w:lvlOverride w:ilvl="8">
      <w:startOverride w:val="1"/>
      <w:lvl w:ilvl="8">
        <w:start w:val="1"/>
        <w:numFmt w:val="lowerRoman"/>
        <w:lvlText w:val="%9."/>
        <w:lvlJc w:val="left"/>
        <w:pPr>
          <w:tabs>
            <w:tab w:val="num" w:pos="9927"/>
          </w:tabs>
          <w:ind w:left="567" w:hanging="567"/>
        </w:pPr>
        <w:rPr>
          <w:rFonts w:hint="default"/>
        </w:rPr>
      </w:lvl>
    </w:lvlOverride>
  </w:num>
  <w:num w:numId="29">
    <w:abstractNumId w:val="6"/>
  </w:num>
  <w:num w:numId="30">
    <w:abstractNumId w:val="23"/>
  </w:num>
  <w:num w:numId="31">
    <w:abstractNumId w:val="12"/>
  </w:num>
  <w:num w:numId="32">
    <w:abstractNumId w:val="27"/>
  </w:num>
  <w:num w:numId="33">
    <w:abstractNumId w:val="2"/>
  </w:num>
  <w:num w:numId="34">
    <w:abstractNumId w:val="4"/>
  </w:num>
  <w:num w:numId="35">
    <w:abstractNumId w:val="16"/>
  </w:num>
  <w:num w:numId="36">
    <w:abstractNumId w:val="24"/>
  </w:num>
  <w:num w:numId="37">
    <w:abstractNumId w:val="5"/>
  </w:num>
  <w:num w:numId="3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attachedTemplate r:id="rId1"/>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50"/>
    <w:rsid w:val="00010EEC"/>
    <w:rsid w:val="00024BF0"/>
    <w:rsid w:val="000533A6"/>
    <w:rsid w:val="00060C86"/>
    <w:rsid w:val="0006411C"/>
    <w:rsid w:val="000646C9"/>
    <w:rsid w:val="00077D80"/>
    <w:rsid w:val="000A361F"/>
    <w:rsid w:val="000D1D6B"/>
    <w:rsid w:val="000F3C71"/>
    <w:rsid w:val="00115535"/>
    <w:rsid w:val="00125FF5"/>
    <w:rsid w:val="00133586"/>
    <w:rsid w:val="00194172"/>
    <w:rsid w:val="001A02B5"/>
    <w:rsid w:val="001E03C5"/>
    <w:rsid w:val="001E536B"/>
    <w:rsid w:val="001E60B5"/>
    <w:rsid w:val="001F6A30"/>
    <w:rsid w:val="00220D05"/>
    <w:rsid w:val="00224093"/>
    <w:rsid w:val="00271905"/>
    <w:rsid w:val="00280D87"/>
    <w:rsid w:val="0028222A"/>
    <w:rsid w:val="002864CB"/>
    <w:rsid w:val="002D6E9B"/>
    <w:rsid w:val="00303628"/>
    <w:rsid w:val="003177CE"/>
    <w:rsid w:val="003224EF"/>
    <w:rsid w:val="00322963"/>
    <w:rsid w:val="00342691"/>
    <w:rsid w:val="00344453"/>
    <w:rsid w:val="003A4564"/>
    <w:rsid w:val="003B08E9"/>
    <w:rsid w:val="003B3120"/>
    <w:rsid w:val="003C0BC2"/>
    <w:rsid w:val="003D2A3E"/>
    <w:rsid w:val="003E5482"/>
    <w:rsid w:val="003E5C41"/>
    <w:rsid w:val="00400B06"/>
    <w:rsid w:val="00400FDB"/>
    <w:rsid w:val="00402A0C"/>
    <w:rsid w:val="00412DBD"/>
    <w:rsid w:val="004147F8"/>
    <w:rsid w:val="0044307F"/>
    <w:rsid w:val="00483728"/>
    <w:rsid w:val="004A3D92"/>
    <w:rsid w:val="004B0FEB"/>
    <w:rsid w:val="004D73B0"/>
    <w:rsid w:val="004F2B0B"/>
    <w:rsid w:val="004F7C30"/>
    <w:rsid w:val="005110E7"/>
    <w:rsid w:val="00554409"/>
    <w:rsid w:val="00576342"/>
    <w:rsid w:val="00586765"/>
    <w:rsid w:val="005A0708"/>
    <w:rsid w:val="005C78B8"/>
    <w:rsid w:val="005C7D9E"/>
    <w:rsid w:val="005D0866"/>
    <w:rsid w:val="005E384B"/>
    <w:rsid w:val="006161B4"/>
    <w:rsid w:val="00624C10"/>
    <w:rsid w:val="006B72AD"/>
    <w:rsid w:val="006F3A4A"/>
    <w:rsid w:val="00711AC0"/>
    <w:rsid w:val="00711B18"/>
    <w:rsid w:val="00723460"/>
    <w:rsid w:val="00772261"/>
    <w:rsid w:val="00782227"/>
    <w:rsid w:val="007A4F4E"/>
    <w:rsid w:val="0080096A"/>
    <w:rsid w:val="0080330C"/>
    <w:rsid w:val="00833A0C"/>
    <w:rsid w:val="00840E7E"/>
    <w:rsid w:val="008500E4"/>
    <w:rsid w:val="00884177"/>
    <w:rsid w:val="0089687A"/>
    <w:rsid w:val="008B6989"/>
    <w:rsid w:val="008C7161"/>
    <w:rsid w:val="008D64B0"/>
    <w:rsid w:val="008F22A5"/>
    <w:rsid w:val="00965318"/>
    <w:rsid w:val="009925A5"/>
    <w:rsid w:val="009A3EA3"/>
    <w:rsid w:val="009A4AD0"/>
    <w:rsid w:val="009B11F4"/>
    <w:rsid w:val="009C4B96"/>
    <w:rsid w:val="009D1914"/>
    <w:rsid w:val="009D6F66"/>
    <w:rsid w:val="009E4522"/>
    <w:rsid w:val="009F1AFC"/>
    <w:rsid w:val="00A137CA"/>
    <w:rsid w:val="00A2584F"/>
    <w:rsid w:val="00A33657"/>
    <w:rsid w:val="00A3501E"/>
    <w:rsid w:val="00A60608"/>
    <w:rsid w:val="00A70FA5"/>
    <w:rsid w:val="00A71F1D"/>
    <w:rsid w:val="00A817E9"/>
    <w:rsid w:val="00AB5633"/>
    <w:rsid w:val="00B145FF"/>
    <w:rsid w:val="00B57080"/>
    <w:rsid w:val="00B65F18"/>
    <w:rsid w:val="00BC2055"/>
    <w:rsid w:val="00BC31DB"/>
    <w:rsid w:val="00BC39E0"/>
    <w:rsid w:val="00BD7683"/>
    <w:rsid w:val="00C01797"/>
    <w:rsid w:val="00C056D1"/>
    <w:rsid w:val="00C113D5"/>
    <w:rsid w:val="00C11AB8"/>
    <w:rsid w:val="00C439FD"/>
    <w:rsid w:val="00C44350"/>
    <w:rsid w:val="00C459CC"/>
    <w:rsid w:val="00C97E2B"/>
    <w:rsid w:val="00D02AE9"/>
    <w:rsid w:val="00D55E60"/>
    <w:rsid w:val="00DC4D0A"/>
    <w:rsid w:val="00E66356"/>
    <w:rsid w:val="00EB0EBC"/>
    <w:rsid w:val="00EC0FD1"/>
    <w:rsid w:val="00EC2AAD"/>
    <w:rsid w:val="00EC7365"/>
    <w:rsid w:val="00ED2EDA"/>
    <w:rsid w:val="00F14B2E"/>
    <w:rsid w:val="00F16315"/>
    <w:rsid w:val="00F2363B"/>
    <w:rsid w:val="00F72396"/>
    <w:rsid w:val="00F8329D"/>
    <w:rsid w:val="00FA7F5A"/>
    <w:rsid w:val="00FD4DB7"/>
    <w:rsid w:val="00FE141F"/>
    <w:rsid w:val="00FE1BAE"/>
    <w:rsid w:val="00FE62D8"/>
    <w:rsid w:val="00FE7C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EFB9D"/>
  <w15:chartTrackingRefBased/>
  <w15:docId w15:val="{8AB3CD20-3C57-4691-95C1-93C07272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CC"/>
    <w:pPr>
      <w:spacing w:line="240" w:lineRule="auto"/>
    </w:pPr>
    <w:rPr>
      <w:rFonts w:ascii="Arial" w:hAnsi="Arial"/>
      <w:color w:val="333333"/>
      <w:sz w:val="20"/>
      <w:lang w:val="en-GB"/>
    </w:rPr>
  </w:style>
  <w:style w:type="paragraph" w:styleId="Heading1">
    <w:name w:val="heading 1"/>
    <w:next w:val="BodyText"/>
    <w:link w:val="Heading1Char"/>
    <w:qFormat/>
    <w:rsid w:val="00303628"/>
    <w:pPr>
      <w:spacing w:after="140" w:line="240" w:lineRule="auto"/>
      <w:contextualSpacing/>
      <w:outlineLvl w:val="0"/>
    </w:pPr>
    <w:rPr>
      <w:rFonts w:ascii="Arial" w:hAnsi="Arial"/>
      <w:b/>
      <w:color w:val="080808"/>
      <w:sz w:val="45"/>
      <w:szCs w:val="18"/>
      <w:lang w:val="en-GB"/>
    </w:rPr>
  </w:style>
  <w:style w:type="paragraph" w:styleId="Heading2">
    <w:name w:val="heading 2"/>
    <w:basedOn w:val="BodyTextNoSpacing"/>
    <w:next w:val="BodyText"/>
    <w:link w:val="Heading2Char"/>
    <w:qFormat/>
    <w:rsid w:val="004F7C30"/>
    <w:pPr>
      <w:spacing w:before="300" w:after="80"/>
      <w:contextualSpacing/>
      <w:outlineLvl w:val="1"/>
    </w:pPr>
    <w:rPr>
      <w:sz w:val="25"/>
    </w:rPr>
  </w:style>
  <w:style w:type="paragraph" w:styleId="Heading3">
    <w:name w:val="heading 3"/>
    <w:basedOn w:val="BodyTextNoSpacing"/>
    <w:next w:val="BodyText"/>
    <w:link w:val="Heading3Char"/>
    <w:qFormat/>
    <w:rsid w:val="00303628"/>
    <w:pPr>
      <w:spacing w:before="300" w:after="100"/>
      <w:contextualSpacing/>
      <w:outlineLvl w:val="2"/>
    </w:pPr>
    <w:rPr>
      <w:sz w:val="23"/>
    </w:rPr>
  </w:style>
  <w:style w:type="paragraph" w:styleId="Heading4">
    <w:name w:val="heading 4"/>
    <w:next w:val="BodyText"/>
    <w:link w:val="Heading4Char"/>
    <w:qFormat/>
    <w:rsid w:val="004F7C30"/>
    <w:pPr>
      <w:spacing w:before="230" w:after="100" w:line="240" w:lineRule="auto"/>
      <w:contextualSpacing/>
      <w:outlineLvl w:val="3"/>
    </w:pPr>
    <w:rPr>
      <w:rFonts w:ascii="Arial" w:hAnsi="Arial"/>
      <w:color w:val="080808"/>
      <w:sz w:val="20"/>
      <w:szCs w:val="18"/>
      <w:lang w:val="en-GB"/>
    </w:rPr>
  </w:style>
  <w:style w:type="paragraph" w:styleId="Heading5">
    <w:name w:val="heading 5"/>
    <w:basedOn w:val="Normal"/>
    <w:next w:val="BodyText"/>
    <w:link w:val="Heading5Char"/>
    <w:semiHidden/>
    <w:qFormat/>
    <w:rsid w:val="003D2A3E"/>
    <w:pPr>
      <w:keepNext/>
      <w:keepLines/>
      <w:spacing w:before="300"/>
      <w:outlineLvl w:val="4"/>
    </w:pPr>
    <w:rPr>
      <w:rFonts w:asciiTheme="majorHAnsi" w:eastAsiaTheme="majorEastAsia" w:hAnsiTheme="majorHAnsi" w:cstheme="majorBidi"/>
      <w:i/>
    </w:rPr>
  </w:style>
  <w:style w:type="paragraph" w:styleId="Heading6">
    <w:name w:val="heading 6"/>
    <w:basedOn w:val="Normal"/>
    <w:next w:val="BodyText"/>
    <w:link w:val="Heading6Char"/>
    <w:semiHidden/>
    <w:qFormat/>
    <w:rsid w:val="003D2A3E"/>
    <w:pPr>
      <w:keepNext/>
      <w:keepLines/>
      <w:spacing w:before="200" w:after="10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0BC2"/>
    <w:pPr>
      <w:spacing w:after="210"/>
    </w:pPr>
    <w:rPr>
      <w:color w:val="080808"/>
      <w:szCs w:val="18"/>
    </w:rPr>
  </w:style>
  <w:style w:type="character" w:customStyle="1" w:styleId="BodyTextChar">
    <w:name w:val="Body Text Char"/>
    <w:basedOn w:val="DefaultParagraphFont"/>
    <w:link w:val="BodyText"/>
    <w:rsid w:val="003C0BC2"/>
    <w:rPr>
      <w:rFonts w:ascii="Arial" w:hAnsi="Arial"/>
      <w:color w:val="080808"/>
      <w:sz w:val="20"/>
      <w:szCs w:val="18"/>
      <w:lang w:val="en-GB"/>
    </w:rPr>
  </w:style>
  <w:style w:type="numbering" w:customStyle="1" w:styleId="BulletList">
    <w:name w:val="Bullet List"/>
    <w:basedOn w:val="NoList"/>
    <w:uiPriority w:val="99"/>
    <w:rsid w:val="003D2A3E"/>
    <w:pPr>
      <w:numPr>
        <w:numId w:val="1"/>
      </w:numPr>
    </w:pPr>
  </w:style>
  <w:style w:type="paragraph" w:styleId="Footer">
    <w:name w:val="footer"/>
    <w:basedOn w:val="Normal"/>
    <w:link w:val="FooterChar"/>
    <w:uiPriority w:val="99"/>
    <w:rsid w:val="003A4564"/>
    <w:pPr>
      <w:tabs>
        <w:tab w:val="right" w:pos="9809"/>
      </w:tabs>
    </w:pPr>
    <w:rPr>
      <w:color w:val="545559"/>
      <w:sz w:val="23"/>
    </w:rPr>
  </w:style>
  <w:style w:type="character" w:customStyle="1" w:styleId="FooterChar">
    <w:name w:val="Footer Char"/>
    <w:basedOn w:val="DefaultParagraphFont"/>
    <w:link w:val="Footer"/>
    <w:uiPriority w:val="99"/>
    <w:rsid w:val="003A4564"/>
    <w:rPr>
      <w:rFonts w:ascii="Arial" w:hAnsi="Arial"/>
      <w:color w:val="545559"/>
      <w:sz w:val="23"/>
      <w:lang w:val="en-GB"/>
    </w:rPr>
  </w:style>
  <w:style w:type="paragraph" w:styleId="Header">
    <w:name w:val="header"/>
    <w:basedOn w:val="Normal"/>
    <w:link w:val="HeaderChar"/>
    <w:uiPriority w:val="99"/>
    <w:rsid w:val="001E60B5"/>
    <w:pPr>
      <w:tabs>
        <w:tab w:val="center" w:pos="4513"/>
        <w:tab w:val="right" w:pos="9026"/>
      </w:tabs>
      <w:ind w:left="3402"/>
      <w:jc w:val="right"/>
    </w:pPr>
    <w:rPr>
      <w:color w:val="080808"/>
      <w:sz w:val="23"/>
    </w:rPr>
  </w:style>
  <w:style w:type="character" w:customStyle="1" w:styleId="HeaderChar">
    <w:name w:val="Header Char"/>
    <w:basedOn w:val="DefaultParagraphFont"/>
    <w:link w:val="Header"/>
    <w:uiPriority w:val="99"/>
    <w:rsid w:val="001E60B5"/>
    <w:rPr>
      <w:rFonts w:ascii="Arial" w:hAnsi="Arial"/>
      <w:color w:val="080808"/>
      <w:sz w:val="23"/>
      <w:lang w:val="en-GB"/>
    </w:rPr>
  </w:style>
  <w:style w:type="character" w:customStyle="1" w:styleId="Heading1Char">
    <w:name w:val="Heading 1 Char"/>
    <w:basedOn w:val="DefaultParagraphFont"/>
    <w:link w:val="Heading1"/>
    <w:rsid w:val="00303628"/>
    <w:rPr>
      <w:rFonts w:ascii="Arial" w:hAnsi="Arial"/>
      <w:b/>
      <w:color w:val="080808"/>
      <w:sz w:val="45"/>
      <w:szCs w:val="18"/>
      <w:lang w:val="en-GB"/>
    </w:rPr>
  </w:style>
  <w:style w:type="character" w:customStyle="1" w:styleId="Heading2Char">
    <w:name w:val="Heading 2 Char"/>
    <w:basedOn w:val="DefaultParagraphFont"/>
    <w:link w:val="Heading2"/>
    <w:rsid w:val="004F7C30"/>
    <w:rPr>
      <w:rFonts w:ascii="Arial" w:hAnsi="Arial"/>
      <w:color w:val="080808"/>
      <w:sz w:val="25"/>
      <w:szCs w:val="18"/>
      <w:lang w:val="en-GB"/>
    </w:rPr>
  </w:style>
  <w:style w:type="character" w:customStyle="1" w:styleId="Heading3Char">
    <w:name w:val="Heading 3 Char"/>
    <w:basedOn w:val="DefaultParagraphFont"/>
    <w:link w:val="Heading3"/>
    <w:rsid w:val="00303628"/>
    <w:rPr>
      <w:rFonts w:ascii="Arial" w:hAnsi="Arial"/>
      <w:color w:val="080808"/>
      <w:sz w:val="23"/>
      <w:szCs w:val="18"/>
      <w:lang w:val="en-GB"/>
    </w:rPr>
  </w:style>
  <w:style w:type="character" w:customStyle="1" w:styleId="Heading4Char">
    <w:name w:val="Heading 4 Char"/>
    <w:basedOn w:val="DefaultParagraphFont"/>
    <w:link w:val="Heading4"/>
    <w:rsid w:val="004F7C30"/>
    <w:rPr>
      <w:rFonts w:ascii="Arial" w:hAnsi="Arial"/>
      <w:color w:val="080808"/>
      <w:sz w:val="20"/>
      <w:szCs w:val="18"/>
      <w:lang w:val="en-GB"/>
    </w:rPr>
  </w:style>
  <w:style w:type="character" w:customStyle="1" w:styleId="Heading5Char">
    <w:name w:val="Heading 5 Char"/>
    <w:basedOn w:val="DefaultParagraphFont"/>
    <w:link w:val="Heading5"/>
    <w:semiHidden/>
    <w:rsid w:val="00342691"/>
    <w:rPr>
      <w:rFonts w:asciiTheme="majorHAnsi" w:eastAsiaTheme="majorEastAsia" w:hAnsiTheme="majorHAnsi" w:cstheme="majorBidi"/>
      <w:i/>
      <w:color w:val="333333"/>
      <w:sz w:val="20"/>
      <w:lang w:val="en-GB"/>
    </w:rPr>
  </w:style>
  <w:style w:type="character" w:customStyle="1" w:styleId="Heading6Char">
    <w:name w:val="Heading 6 Char"/>
    <w:basedOn w:val="DefaultParagraphFont"/>
    <w:link w:val="Heading6"/>
    <w:semiHidden/>
    <w:rsid w:val="003D2A3E"/>
    <w:rPr>
      <w:rFonts w:asciiTheme="majorHAnsi" w:eastAsiaTheme="majorEastAsia" w:hAnsiTheme="majorHAnsi" w:cstheme="majorBidi"/>
      <w:b/>
      <w:color w:val="333333"/>
      <w:sz w:val="20"/>
      <w:lang w:val="en-GB"/>
    </w:rPr>
  </w:style>
  <w:style w:type="paragraph" w:styleId="List">
    <w:name w:val="List"/>
    <w:basedOn w:val="BodyText"/>
    <w:uiPriority w:val="1"/>
    <w:semiHidden/>
    <w:unhideWhenUsed/>
    <w:rsid w:val="003D2A3E"/>
    <w:pPr>
      <w:spacing w:before="100"/>
      <w:ind w:left="284" w:hanging="284"/>
    </w:pPr>
  </w:style>
  <w:style w:type="paragraph" w:styleId="List2">
    <w:name w:val="List 2"/>
    <w:basedOn w:val="BodyText"/>
    <w:uiPriority w:val="1"/>
    <w:semiHidden/>
    <w:unhideWhenUsed/>
    <w:rsid w:val="003D2A3E"/>
    <w:pPr>
      <w:ind w:left="567"/>
    </w:pPr>
  </w:style>
  <w:style w:type="paragraph" w:styleId="List3">
    <w:name w:val="List 3"/>
    <w:basedOn w:val="BodyText"/>
    <w:uiPriority w:val="1"/>
    <w:semiHidden/>
    <w:unhideWhenUsed/>
    <w:rsid w:val="003D2A3E"/>
    <w:pPr>
      <w:ind w:left="851"/>
    </w:pPr>
  </w:style>
  <w:style w:type="paragraph" w:styleId="List4">
    <w:name w:val="List 4"/>
    <w:basedOn w:val="BodyText"/>
    <w:uiPriority w:val="1"/>
    <w:semiHidden/>
    <w:unhideWhenUsed/>
    <w:rsid w:val="003D2A3E"/>
    <w:pPr>
      <w:ind w:left="1134"/>
    </w:pPr>
  </w:style>
  <w:style w:type="paragraph" w:styleId="List5">
    <w:name w:val="List 5"/>
    <w:basedOn w:val="BodyText"/>
    <w:uiPriority w:val="1"/>
    <w:semiHidden/>
    <w:unhideWhenUsed/>
    <w:rsid w:val="003D2A3E"/>
    <w:pPr>
      <w:ind w:left="1418"/>
    </w:pPr>
  </w:style>
  <w:style w:type="paragraph" w:styleId="ListBullet">
    <w:name w:val="List Bullet"/>
    <w:qFormat/>
    <w:rsid w:val="00271905"/>
    <w:pPr>
      <w:numPr>
        <w:numId w:val="5"/>
      </w:numPr>
      <w:spacing w:after="210" w:line="240" w:lineRule="auto"/>
      <w:ind w:left="737" w:hanging="357"/>
      <w:contextualSpacing/>
    </w:pPr>
    <w:rPr>
      <w:rFonts w:ascii="Arial" w:hAnsi="Arial"/>
      <w:color w:val="080808"/>
      <w:sz w:val="18"/>
      <w:szCs w:val="18"/>
      <w:lang w:val="en-GB"/>
    </w:rPr>
  </w:style>
  <w:style w:type="paragraph" w:styleId="ListBullet2">
    <w:name w:val="List Bullet 2"/>
    <w:qFormat/>
    <w:rsid w:val="008500E4"/>
    <w:pPr>
      <w:numPr>
        <w:numId w:val="12"/>
      </w:numPr>
      <w:spacing w:after="210" w:line="240" w:lineRule="auto"/>
      <w:ind w:left="1134" w:hanging="357"/>
      <w:contextualSpacing/>
    </w:pPr>
    <w:rPr>
      <w:rFonts w:ascii="Arial" w:hAnsi="Arial"/>
      <w:color w:val="080808"/>
      <w:sz w:val="18"/>
      <w:szCs w:val="18"/>
      <w:lang w:val="en-GB"/>
    </w:rPr>
  </w:style>
  <w:style w:type="paragraph" w:styleId="ListBullet3">
    <w:name w:val="List Bullet 3"/>
    <w:qFormat/>
    <w:rsid w:val="008500E4"/>
    <w:pPr>
      <w:numPr>
        <w:numId w:val="13"/>
      </w:numPr>
      <w:spacing w:after="210" w:line="240" w:lineRule="auto"/>
      <w:ind w:left="1474" w:hanging="357"/>
      <w:contextualSpacing/>
    </w:pPr>
    <w:rPr>
      <w:rFonts w:ascii="Arial" w:hAnsi="Arial"/>
      <w:color w:val="080808"/>
      <w:sz w:val="18"/>
      <w:szCs w:val="18"/>
      <w:lang w:val="en-GB"/>
    </w:rPr>
  </w:style>
  <w:style w:type="paragraph" w:styleId="ListContinue">
    <w:name w:val="List Continue"/>
    <w:qFormat/>
    <w:rsid w:val="003B08E9"/>
    <w:pPr>
      <w:spacing w:after="210" w:line="240" w:lineRule="auto"/>
      <w:ind w:left="737"/>
      <w:contextualSpacing/>
    </w:pPr>
    <w:rPr>
      <w:rFonts w:ascii="Arial" w:hAnsi="Arial"/>
      <w:color w:val="080808"/>
      <w:sz w:val="18"/>
      <w:szCs w:val="18"/>
      <w:lang w:val="en-GB"/>
    </w:rPr>
  </w:style>
  <w:style w:type="paragraph" w:styleId="ListContinue2">
    <w:name w:val="List Continue 2"/>
    <w:qFormat/>
    <w:rsid w:val="003B08E9"/>
    <w:pPr>
      <w:spacing w:after="210" w:line="240" w:lineRule="auto"/>
      <w:ind w:left="1134"/>
      <w:contextualSpacing/>
    </w:pPr>
    <w:rPr>
      <w:rFonts w:ascii="Arial" w:hAnsi="Arial"/>
      <w:color w:val="080808"/>
      <w:sz w:val="18"/>
      <w:szCs w:val="18"/>
      <w:lang w:val="en-GB"/>
    </w:rPr>
  </w:style>
  <w:style w:type="paragraph" w:styleId="ListContinue3">
    <w:name w:val="List Continue 3"/>
    <w:qFormat/>
    <w:rsid w:val="003B08E9"/>
    <w:pPr>
      <w:spacing w:after="210" w:line="240" w:lineRule="auto"/>
      <w:ind w:left="1474"/>
      <w:contextualSpacing/>
    </w:pPr>
    <w:rPr>
      <w:rFonts w:ascii="Arial" w:hAnsi="Arial"/>
      <w:color w:val="080808"/>
      <w:sz w:val="18"/>
      <w:szCs w:val="18"/>
      <w:lang w:val="en-GB"/>
    </w:rPr>
  </w:style>
  <w:style w:type="paragraph" w:styleId="ListContinue4">
    <w:name w:val="List Continue 4"/>
    <w:qFormat/>
    <w:rsid w:val="00194172"/>
    <w:pPr>
      <w:spacing w:after="210" w:line="240" w:lineRule="auto"/>
      <w:ind w:left="1814"/>
      <w:contextualSpacing/>
    </w:pPr>
    <w:rPr>
      <w:rFonts w:ascii="Arial" w:hAnsi="Arial"/>
      <w:color w:val="080808"/>
      <w:sz w:val="18"/>
      <w:szCs w:val="18"/>
      <w:lang w:val="en-GB"/>
    </w:rPr>
  </w:style>
  <w:style w:type="paragraph" w:styleId="ListContinue5">
    <w:name w:val="List Continue 5"/>
    <w:qFormat/>
    <w:rsid w:val="00A3501E"/>
    <w:pPr>
      <w:spacing w:after="210" w:line="240" w:lineRule="auto"/>
      <w:ind w:left="2211"/>
      <w:contextualSpacing/>
    </w:pPr>
    <w:rPr>
      <w:rFonts w:ascii="Arial" w:hAnsi="Arial"/>
      <w:color w:val="080808"/>
      <w:sz w:val="18"/>
      <w:szCs w:val="18"/>
      <w:lang w:val="en-GB"/>
    </w:rPr>
  </w:style>
  <w:style w:type="paragraph" w:styleId="ListNumber">
    <w:name w:val="List Number"/>
    <w:uiPriority w:val="99"/>
    <w:qFormat/>
    <w:rsid w:val="00B65F18"/>
    <w:pPr>
      <w:numPr>
        <w:numId w:val="4"/>
      </w:numPr>
      <w:spacing w:after="210" w:line="240" w:lineRule="auto"/>
      <w:ind w:left="737" w:hanging="357"/>
      <w:contextualSpacing/>
    </w:pPr>
    <w:rPr>
      <w:rFonts w:ascii="Arial" w:hAnsi="Arial"/>
      <w:color w:val="080808"/>
      <w:sz w:val="18"/>
      <w:szCs w:val="18"/>
      <w:lang w:val="en-GB"/>
    </w:rPr>
  </w:style>
  <w:style w:type="paragraph" w:styleId="ListNumber2">
    <w:name w:val="List Number 2"/>
    <w:uiPriority w:val="99"/>
    <w:qFormat/>
    <w:rsid w:val="00B65F18"/>
    <w:pPr>
      <w:numPr>
        <w:numId w:val="19"/>
      </w:numPr>
      <w:spacing w:after="210" w:line="240" w:lineRule="auto"/>
      <w:ind w:left="1134" w:hanging="357"/>
      <w:contextualSpacing/>
    </w:pPr>
    <w:rPr>
      <w:rFonts w:ascii="Arial" w:hAnsi="Arial"/>
      <w:color w:val="080808"/>
      <w:sz w:val="18"/>
      <w:szCs w:val="18"/>
      <w:lang w:val="en-GB"/>
    </w:rPr>
  </w:style>
  <w:style w:type="paragraph" w:styleId="ListNumber3">
    <w:name w:val="List Number 3"/>
    <w:qFormat/>
    <w:rsid w:val="00B65F18"/>
    <w:pPr>
      <w:numPr>
        <w:numId w:val="21"/>
      </w:numPr>
      <w:spacing w:after="210" w:line="240" w:lineRule="auto"/>
      <w:contextualSpacing/>
    </w:pPr>
    <w:rPr>
      <w:rFonts w:ascii="Arial" w:hAnsi="Arial"/>
      <w:color w:val="080808"/>
      <w:sz w:val="18"/>
      <w:szCs w:val="18"/>
      <w:lang w:val="en-GB"/>
    </w:rPr>
  </w:style>
  <w:style w:type="numbering" w:customStyle="1" w:styleId="NumberList">
    <w:name w:val="Number List"/>
    <w:basedOn w:val="BulletList"/>
    <w:uiPriority w:val="99"/>
    <w:rsid w:val="003D2A3E"/>
    <w:pPr>
      <w:numPr>
        <w:numId w:val="2"/>
      </w:numPr>
    </w:pPr>
  </w:style>
  <w:style w:type="paragraph" w:styleId="Subtitle">
    <w:name w:val="Subtitle"/>
    <w:basedOn w:val="Normal"/>
    <w:next w:val="Normal"/>
    <w:link w:val="SubtitleChar"/>
    <w:qFormat/>
    <w:rsid w:val="004147F8"/>
    <w:pPr>
      <w:numPr>
        <w:ilvl w:val="1"/>
      </w:numPr>
    </w:pPr>
    <w:rPr>
      <w:rFonts w:eastAsiaTheme="minorEastAsia"/>
      <w:color w:val="080808"/>
      <w:sz w:val="31"/>
    </w:rPr>
  </w:style>
  <w:style w:type="character" w:customStyle="1" w:styleId="SubtitleChar">
    <w:name w:val="Subtitle Char"/>
    <w:basedOn w:val="DefaultParagraphFont"/>
    <w:link w:val="Subtitle"/>
    <w:rsid w:val="004147F8"/>
    <w:rPr>
      <w:rFonts w:ascii="Arial" w:eastAsiaTheme="minorEastAsia" w:hAnsi="Arial"/>
      <w:color w:val="080808"/>
      <w:sz w:val="31"/>
      <w:lang w:val="en-GB"/>
    </w:rPr>
  </w:style>
  <w:style w:type="table" w:styleId="TableGrid">
    <w:name w:val="Table Grid"/>
    <w:basedOn w:val="TableNormal"/>
    <w:uiPriority w:val="59"/>
    <w:rsid w:val="003D2A3E"/>
    <w:pPr>
      <w:spacing w:line="240" w:lineRule="auto"/>
    </w:pPr>
    <w:rPr>
      <w:rFonts w:asciiTheme="minorHAnsi" w:hAnsiTheme="minorHAnsi"/>
      <w:sz w:val="22"/>
      <w:lang w:val="en-GB"/>
    </w:rPr>
    <w:tblPr>
      <w:tblCellMar>
        <w:left w:w="0" w:type="dxa"/>
        <w:right w:w="0" w:type="dxa"/>
      </w:tblCellMar>
    </w:tblPr>
  </w:style>
  <w:style w:type="paragraph" w:customStyle="1" w:styleId="Heading1noTOC">
    <w:name w:val="Heading 1 no TOC"/>
    <w:qFormat/>
    <w:rsid w:val="00D02AE9"/>
    <w:rPr>
      <w:rFonts w:ascii="Arial" w:hAnsi="Arial"/>
      <w:b/>
      <w:color w:val="080808"/>
      <w:sz w:val="45"/>
      <w:szCs w:val="18"/>
      <w:lang w:val="en-GB"/>
    </w:rPr>
  </w:style>
  <w:style w:type="paragraph" w:customStyle="1" w:styleId="Heading2noTOC">
    <w:name w:val="Heading 2 no TOC"/>
    <w:qFormat/>
    <w:rsid w:val="00D02AE9"/>
    <w:rPr>
      <w:rFonts w:ascii="Arial" w:hAnsi="Arial"/>
      <w:color w:val="080808"/>
      <w:sz w:val="25"/>
      <w:szCs w:val="18"/>
      <w:lang w:val="en-GB"/>
    </w:rPr>
  </w:style>
  <w:style w:type="paragraph" w:styleId="TOC1">
    <w:name w:val="toc 1"/>
    <w:basedOn w:val="Normal"/>
    <w:next w:val="Normal"/>
    <w:uiPriority w:val="39"/>
    <w:unhideWhenUsed/>
    <w:rsid w:val="00576342"/>
    <w:pPr>
      <w:tabs>
        <w:tab w:val="right" w:leader="dot" w:pos="9809"/>
      </w:tabs>
      <w:spacing w:before="200" w:after="120"/>
    </w:pPr>
    <w:rPr>
      <w:b/>
      <w:sz w:val="23"/>
    </w:rPr>
  </w:style>
  <w:style w:type="paragraph" w:styleId="TOC2">
    <w:name w:val="toc 2"/>
    <w:basedOn w:val="Normal"/>
    <w:next w:val="Normal"/>
    <w:uiPriority w:val="39"/>
    <w:unhideWhenUsed/>
    <w:rsid w:val="005110E7"/>
    <w:pPr>
      <w:spacing w:after="120"/>
      <w:ind w:left="221"/>
    </w:pPr>
    <w:rPr>
      <w:sz w:val="23"/>
    </w:rPr>
  </w:style>
  <w:style w:type="paragraph" w:styleId="TOC3">
    <w:name w:val="toc 3"/>
    <w:basedOn w:val="Normal"/>
    <w:next w:val="Normal"/>
    <w:uiPriority w:val="39"/>
    <w:unhideWhenUsed/>
    <w:rsid w:val="005110E7"/>
    <w:pPr>
      <w:spacing w:after="120"/>
      <w:ind w:left="442"/>
    </w:pPr>
    <w:rPr>
      <w:sz w:val="23"/>
    </w:rPr>
  </w:style>
  <w:style w:type="paragraph" w:customStyle="1" w:styleId="BodyTextNoSpacing">
    <w:name w:val="Body Text No Spacing"/>
    <w:basedOn w:val="BodyText"/>
    <w:qFormat/>
    <w:rsid w:val="00280D87"/>
    <w:pPr>
      <w:spacing w:after="0"/>
    </w:pPr>
  </w:style>
  <w:style w:type="paragraph" w:styleId="Date">
    <w:name w:val="Date"/>
    <w:basedOn w:val="Normal"/>
    <w:next w:val="Normal"/>
    <w:link w:val="DateChar"/>
    <w:rsid w:val="003D2A3E"/>
    <w:pPr>
      <w:spacing w:after="230"/>
    </w:pPr>
  </w:style>
  <w:style w:type="character" w:customStyle="1" w:styleId="DateChar">
    <w:name w:val="Date Char"/>
    <w:basedOn w:val="DefaultParagraphFont"/>
    <w:link w:val="Date"/>
    <w:rsid w:val="003D2A3E"/>
    <w:rPr>
      <w:rFonts w:ascii="Arial" w:hAnsi="Arial"/>
      <w:color w:val="333333"/>
      <w:sz w:val="20"/>
      <w:lang w:val="en-GB"/>
    </w:rPr>
  </w:style>
  <w:style w:type="paragraph" w:styleId="TOCHeading">
    <w:name w:val="TOC Heading"/>
    <w:basedOn w:val="Heading1"/>
    <w:next w:val="Normal"/>
    <w:rsid w:val="00624C10"/>
    <w:pPr>
      <w:outlineLvl w:val="9"/>
    </w:pPr>
  </w:style>
  <w:style w:type="character" w:styleId="PlaceholderText">
    <w:name w:val="Placeholder Text"/>
    <w:basedOn w:val="DefaultParagraphFont"/>
    <w:rsid w:val="003D2A3E"/>
    <w:rPr>
      <w:color w:val="FF00FF"/>
      <w:bdr w:val="none" w:sz="0" w:space="0" w:color="auto"/>
      <w:shd w:val="clear" w:color="auto" w:fill="auto"/>
    </w:rPr>
  </w:style>
  <w:style w:type="character" w:styleId="Emphasis">
    <w:name w:val="Emphasis"/>
    <w:basedOn w:val="DefaultParagraphFont"/>
    <w:qFormat/>
    <w:rsid w:val="00FD4DB7"/>
    <w:rPr>
      <w:b/>
      <w:i w:val="0"/>
      <w:iCs/>
      <w:color w:val="080808"/>
    </w:rPr>
  </w:style>
  <w:style w:type="paragraph" w:customStyle="1" w:styleId="FinePrint">
    <w:name w:val="Fine Print"/>
    <w:basedOn w:val="BodyText"/>
    <w:qFormat/>
    <w:rsid w:val="00576342"/>
    <w:pPr>
      <w:spacing w:after="160"/>
      <w:contextualSpacing/>
    </w:pPr>
    <w:rPr>
      <w:sz w:val="14"/>
    </w:rPr>
  </w:style>
  <w:style w:type="paragraph" w:styleId="Index1">
    <w:name w:val="index 1"/>
    <w:basedOn w:val="Normal"/>
    <w:next w:val="Normal"/>
    <w:uiPriority w:val="99"/>
    <w:semiHidden/>
    <w:unhideWhenUsed/>
    <w:rsid w:val="003B3120"/>
    <w:pPr>
      <w:ind w:left="200" w:hanging="200"/>
    </w:pPr>
  </w:style>
  <w:style w:type="numbering" w:customStyle="1" w:styleId="HMIBullets">
    <w:name w:val="HMI Bullets"/>
    <w:basedOn w:val="BulletList"/>
    <w:uiPriority w:val="99"/>
    <w:rsid w:val="00010EEC"/>
    <w:pPr>
      <w:numPr>
        <w:numId w:val="3"/>
      </w:numPr>
    </w:pPr>
  </w:style>
  <w:style w:type="numbering" w:customStyle="1" w:styleId="HMIListNumbers">
    <w:name w:val="HMI List Numbers"/>
    <w:basedOn w:val="NumberList"/>
    <w:uiPriority w:val="99"/>
    <w:rsid w:val="00010EEC"/>
    <w:pPr>
      <w:numPr>
        <w:numId w:val="4"/>
      </w:numPr>
    </w:pPr>
  </w:style>
  <w:style w:type="table" w:customStyle="1" w:styleId="HexagonTableAllBorders">
    <w:name w:val="Hexagon Table All Borders"/>
    <w:basedOn w:val="TableNormal"/>
    <w:uiPriority w:val="99"/>
    <w:rsid w:val="00010EEC"/>
    <w:pPr>
      <w:spacing w:line="240" w:lineRule="auto"/>
    </w:pPr>
    <w:tblPr>
      <w:tblStyleRowBandSize w:val="1"/>
      <w:tblBorders>
        <w:top w:val="single" w:sz="4" w:space="0" w:color="0097BA"/>
        <w:left w:val="single" w:sz="4" w:space="0" w:color="0097BA"/>
        <w:bottom w:val="single" w:sz="4" w:space="0" w:color="0097BA"/>
        <w:right w:val="single" w:sz="4" w:space="0" w:color="0097BA"/>
        <w:insideH w:val="single" w:sz="4" w:space="0" w:color="0097BA"/>
        <w:insideV w:val="single" w:sz="4" w:space="0" w:color="0097BA"/>
      </w:tblBorders>
      <w:tblCellMar>
        <w:top w:w="85" w:type="dxa"/>
        <w:bottom w:w="85" w:type="dxa"/>
      </w:tblCellMar>
    </w:tblPr>
    <w:tblStylePr w:type="firstRow">
      <w:tblPr/>
      <w:tcPr>
        <w:tcBorders>
          <w:top w:val="single" w:sz="4" w:space="0" w:color="0097BA"/>
          <w:left w:val="single" w:sz="4" w:space="0" w:color="0097BA"/>
          <w:bottom w:val="single" w:sz="4" w:space="0" w:color="0097BA"/>
          <w:right w:val="single" w:sz="4" w:space="0" w:color="0097BA"/>
          <w:insideH w:val="single" w:sz="4" w:space="0" w:color="0097BA"/>
          <w:insideV w:val="single" w:sz="4" w:space="0" w:color="0097BA"/>
          <w:tl2br w:val="nil"/>
          <w:tr2bl w:val="nil"/>
        </w:tcBorders>
        <w:shd w:val="clear" w:color="auto" w:fill="0097BA"/>
      </w:tcPr>
    </w:tblStylePr>
    <w:tblStylePr w:type="band1Horz">
      <w:tblPr/>
      <w:tcPr>
        <w:tcBorders>
          <w:top w:val="single" w:sz="4" w:space="0" w:color="0097BA"/>
          <w:left w:val="single" w:sz="4" w:space="0" w:color="0097BA"/>
          <w:bottom w:val="single" w:sz="4" w:space="0" w:color="0097BA"/>
          <w:right w:val="single" w:sz="4" w:space="0" w:color="0097BA"/>
          <w:insideH w:val="single" w:sz="4" w:space="0" w:color="0097BA"/>
          <w:insideV w:val="single" w:sz="4" w:space="0" w:color="0097BA"/>
          <w:tl2br w:val="nil"/>
          <w:tr2bl w:val="nil"/>
        </w:tcBorders>
        <w:shd w:val="clear" w:color="auto" w:fill="85CDDB"/>
      </w:tcPr>
    </w:tblStylePr>
    <w:tblStylePr w:type="band2Horz">
      <w:tblPr/>
      <w:tcPr>
        <w:tcBorders>
          <w:top w:val="single" w:sz="4" w:space="0" w:color="1B98AA"/>
          <w:left w:val="single" w:sz="4" w:space="0" w:color="1B98AA"/>
          <w:bottom w:val="single" w:sz="4" w:space="0" w:color="1B98AA"/>
          <w:right w:val="single" w:sz="4" w:space="0" w:color="1B98AA"/>
          <w:insideH w:val="single" w:sz="4" w:space="0" w:color="1B98AA"/>
          <w:insideV w:val="single" w:sz="4" w:space="0" w:color="1B98AA"/>
          <w:tl2br w:val="nil"/>
          <w:tr2bl w:val="nil"/>
        </w:tcBorders>
      </w:tcPr>
    </w:tblStylePr>
  </w:style>
  <w:style w:type="table" w:customStyle="1" w:styleId="HexagonTableInsideBordersOnly">
    <w:name w:val="Hexagon Table Inside Borders Only"/>
    <w:basedOn w:val="TableNormal"/>
    <w:uiPriority w:val="99"/>
    <w:rsid w:val="00010EEC"/>
    <w:pPr>
      <w:spacing w:line="240" w:lineRule="auto"/>
    </w:pPr>
    <w:tblPr>
      <w:tblBorders>
        <w:insideH w:val="single" w:sz="4" w:space="0" w:color="0097BA"/>
        <w:insideV w:val="single" w:sz="4" w:space="0" w:color="0097BA"/>
      </w:tblBorders>
      <w:tblCellMar>
        <w:top w:w="85" w:type="dxa"/>
        <w:bottom w:w="85" w:type="dxa"/>
      </w:tblCellMar>
    </w:tblPr>
  </w:style>
  <w:style w:type="character" w:styleId="Hyperlink">
    <w:name w:val="Hyperlink"/>
    <w:basedOn w:val="DefaultParagraphFont"/>
    <w:uiPriority w:val="99"/>
    <w:rsid w:val="00EC0FD1"/>
    <w:rPr>
      <w:color w:val="0097BA"/>
      <w:u w:val="none"/>
    </w:rPr>
  </w:style>
  <w:style w:type="paragraph" w:styleId="ListBullet4">
    <w:name w:val="List Bullet 4"/>
    <w:qFormat/>
    <w:rsid w:val="008500E4"/>
    <w:pPr>
      <w:numPr>
        <w:numId w:val="14"/>
      </w:numPr>
      <w:spacing w:after="210" w:line="240" w:lineRule="auto"/>
      <w:ind w:left="1814" w:hanging="357"/>
      <w:contextualSpacing/>
    </w:pPr>
    <w:rPr>
      <w:rFonts w:ascii="Arial" w:hAnsi="Arial"/>
      <w:color w:val="080808"/>
      <w:sz w:val="18"/>
      <w:szCs w:val="18"/>
      <w:lang w:val="en-GB"/>
    </w:rPr>
  </w:style>
  <w:style w:type="paragraph" w:styleId="ListBullet5">
    <w:name w:val="List Bullet 5"/>
    <w:qFormat/>
    <w:rsid w:val="008500E4"/>
    <w:pPr>
      <w:numPr>
        <w:numId w:val="15"/>
      </w:numPr>
      <w:spacing w:after="210" w:line="240" w:lineRule="auto"/>
      <w:ind w:left="2211" w:hanging="357"/>
      <w:contextualSpacing/>
    </w:pPr>
    <w:rPr>
      <w:rFonts w:ascii="Arial" w:hAnsi="Arial"/>
      <w:color w:val="080808"/>
      <w:sz w:val="18"/>
      <w:szCs w:val="18"/>
      <w:lang w:val="en-GB"/>
    </w:rPr>
  </w:style>
  <w:style w:type="paragraph" w:customStyle="1" w:styleId="Markup">
    <w:name w:val="Markup"/>
    <w:basedOn w:val="Normal"/>
    <w:link w:val="MarkupChar"/>
    <w:qFormat/>
    <w:rsid w:val="00280D87"/>
    <w:rPr>
      <w:color w:val="FF00FF"/>
    </w:rPr>
  </w:style>
  <w:style w:type="character" w:customStyle="1" w:styleId="MarkupChar">
    <w:name w:val="Markup Char"/>
    <w:basedOn w:val="DefaultParagraphFont"/>
    <w:link w:val="Markup"/>
    <w:rsid w:val="00280D87"/>
    <w:rPr>
      <w:rFonts w:ascii="Arial" w:hAnsi="Arial"/>
      <w:color w:val="FF00FF"/>
      <w:sz w:val="20"/>
      <w:lang w:val="en-GB"/>
    </w:rPr>
  </w:style>
  <w:style w:type="paragraph" w:styleId="IndexHeading">
    <w:name w:val="index heading"/>
    <w:basedOn w:val="Normal"/>
    <w:next w:val="Index1"/>
    <w:uiPriority w:val="99"/>
    <w:rsid w:val="00483728"/>
    <w:rPr>
      <w:rFonts w:eastAsiaTheme="majorEastAsia" w:cstheme="majorBidi"/>
      <w:bCs/>
      <w:caps/>
      <w:color w:val="545559"/>
      <w:sz w:val="36"/>
    </w:rPr>
  </w:style>
  <w:style w:type="paragraph" w:customStyle="1" w:styleId="TableText">
    <w:name w:val="Table Text"/>
    <w:basedOn w:val="Normal"/>
    <w:qFormat/>
    <w:rsid w:val="002D6E9B"/>
    <w:rPr>
      <w:color w:val="080808"/>
      <w:sz w:val="16"/>
    </w:rPr>
  </w:style>
  <w:style w:type="paragraph" w:customStyle="1" w:styleId="TableTitle">
    <w:name w:val="Table Title"/>
    <w:next w:val="TableText"/>
    <w:qFormat/>
    <w:rsid w:val="00A2584F"/>
    <w:pPr>
      <w:spacing w:line="240" w:lineRule="auto"/>
    </w:pPr>
    <w:rPr>
      <w:rFonts w:ascii="Arial" w:hAnsi="Arial"/>
      <w:b/>
      <w:color w:val="333333"/>
      <w:sz w:val="16"/>
      <w:lang w:val="en-GB"/>
    </w:rPr>
  </w:style>
  <w:style w:type="paragraph" w:customStyle="1" w:styleId="TableTitleWhite">
    <w:name w:val="Table Title White"/>
    <w:basedOn w:val="TableTitle"/>
    <w:next w:val="TableText"/>
    <w:qFormat/>
    <w:rsid w:val="001F6A30"/>
    <w:rPr>
      <w:color w:val="FFFFFF" w:themeColor="text1"/>
    </w:rPr>
  </w:style>
  <w:style w:type="paragraph" w:customStyle="1" w:styleId="Category">
    <w:name w:val="Category"/>
    <w:basedOn w:val="Normal"/>
    <w:qFormat/>
    <w:rsid w:val="00576342"/>
    <w:rPr>
      <w:color w:val="080808"/>
      <w:sz w:val="21"/>
    </w:rPr>
  </w:style>
  <w:style w:type="character" w:styleId="CommentReference">
    <w:name w:val="annotation reference"/>
    <w:basedOn w:val="DefaultParagraphFont"/>
    <w:uiPriority w:val="99"/>
    <w:semiHidden/>
    <w:unhideWhenUsed/>
    <w:rsid w:val="003E5482"/>
    <w:rPr>
      <w:sz w:val="16"/>
      <w:szCs w:val="16"/>
    </w:rPr>
  </w:style>
  <w:style w:type="paragraph" w:styleId="CommentText">
    <w:name w:val="annotation text"/>
    <w:basedOn w:val="Normal"/>
    <w:link w:val="CommentTextChar"/>
    <w:uiPriority w:val="99"/>
    <w:unhideWhenUsed/>
    <w:rsid w:val="003E5482"/>
    <w:rPr>
      <w:szCs w:val="20"/>
    </w:rPr>
  </w:style>
  <w:style w:type="character" w:customStyle="1" w:styleId="CommentTextChar">
    <w:name w:val="Comment Text Char"/>
    <w:basedOn w:val="DefaultParagraphFont"/>
    <w:link w:val="CommentText"/>
    <w:uiPriority w:val="99"/>
    <w:rsid w:val="003E5482"/>
    <w:rPr>
      <w:rFonts w:ascii="Arial" w:hAnsi="Arial"/>
      <w:color w:val="333333"/>
      <w:sz w:val="20"/>
      <w:szCs w:val="20"/>
      <w:lang w:val="en-GB"/>
    </w:rPr>
  </w:style>
  <w:style w:type="paragraph" w:styleId="CommentSubject">
    <w:name w:val="annotation subject"/>
    <w:basedOn w:val="CommentText"/>
    <w:next w:val="CommentText"/>
    <w:link w:val="CommentSubjectChar"/>
    <w:uiPriority w:val="99"/>
    <w:semiHidden/>
    <w:unhideWhenUsed/>
    <w:rsid w:val="003E5482"/>
    <w:rPr>
      <w:b/>
      <w:bCs/>
    </w:rPr>
  </w:style>
  <w:style w:type="character" w:customStyle="1" w:styleId="CommentSubjectChar">
    <w:name w:val="Comment Subject Char"/>
    <w:basedOn w:val="CommentTextChar"/>
    <w:link w:val="CommentSubject"/>
    <w:uiPriority w:val="99"/>
    <w:semiHidden/>
    <w:rsid w:val="003E5482"/>
    <w:rPr>
      <w:rFonts w:ascii="Arial" w:hAnsi="Arial"/>
      <w:b/>
      <w:bCs/>
      <w:color w:val="333333"/>
      <w:sz w:val="20"/>
      <w:szCs w:val="20"/>
      <w:lang w:val="en-GB"/>
    </w:rPr>
  </w:style>
  <w:style w:type="paragraph" w:styleId="BalloonText">
    <w:name w:val="Balloon Text"/>
    <w:basedOn w:val="Normal"/>
    <w:link w:val="BalloonTextChar"/>
    <w:uiPriority w:val="99"/>
    <w:semiHidden/>
    <w:unhideWhenUsed/>
    <w:rsid w:val="003E5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482"/>
    <w:rPr>
      <w:rFonts w:ascii="Segoe UI" w:hAnsi="Segoe UI" w:cs="Segoe UI"/>
      <w:color w:val="333333"/>
      <w:sz w:val="18"/>
      <w:szCs w:val="18"/>
      <w:lang w:val="en-GB"/>
    </w:rPr>
  </w:style>
  <w:style w:type="paragraph" w:customStyle="1" w:styleId="Title-LetterheadMemo">
    <w:name w:val="Title - Letterhead &amp; Memo"/>
    <w:qFormat/>
    <w:rsid w:val="004147F8"/>
    <w:rPr>
      <w:rFonts w:ascii="Arial" w:eastAsiaTheme="majorEastAsia" w:hAnsi="Arial" w:cstheme="majorBidi"/>
      <w:b/>
      <w:color w:val="080808"/>
      <w:spacing w:val="-10"/>
      <w:kern w:val="28"/>
      <w:sz w:val="42"/>
      <w:szCs w:val="36"/>
      <w:lang w:val="en-GB"/>
    </w:rPr>
  </w:style>
  <w:style w:type="paragraph" w:customStyle="1" w:styleId="Contact">
    <w:name w:val="Contact"/>
    <w:qFormat/>
    <w:rsid w:val="00280D87"/>
    <w:pPr>
      <w:spacing w:line="240" w:lineRule="auto"/>
    </w:pPr>
    <w:rPr>
      <w:rFonts w:ascii="Arial" w:hAnsi="Arial"/>
      <w:color w:val="080808"/>
      <w:sz w:val="20"/>
      <w:szCs w:val="20"/>
      <w:lang w:val="en-GB"/>
    </w:rPr>
  </w:style>
  <w:style w:type="paragraph" w:customStyle="1" w:styleId="ContactHeading">
    <w:name w:val="Contact Heading"/>
    <w:basedOn w:val="Contact"/>
    <w:qFormat/>
    <w:rsid w:val="00280D87"/>
    <w:rPr>
      <w:b/>
      <w:sz w:val="22"/>
    </w:rPr>
  </w:style>
  <w:style w:type="paragraph" w:customStyle="1" w:styleId="MediaReleaseHeading1">
    <w:name w:val="Media Release Heading 1"/>
    <w:qFormat/>
    <w:rsid w:val="00280D87"/>
    <w:pPr>
      <w:spacing w:before="400" w:after="140" w:line="240" w:lineRule="auto"/>
      <w:contextualSpacing/>
      <w:outlineLvl w:val="0"/>
    </w:pPr>
    <w:rPr>
      <w:rFonts w:ascii="Arial" w:hAnsi="Arial"/>
      <w:b/>
      <w:color w:val="080808"/>
      <w:sz w:val="28"/>
      <w:szCs w:val="22"/>
      <w:lang w:val="en-GB"/>
    </w:rPr>
  </w:style>
  <w:style w:type="paragraph" w:customStyle="1" w:styleId="MediaReleaseHeading2">
    <w:name w:val="Media Release Heading 2"/>
    <w:qFormat/>
    <w:rsid w:val="00280D87"/>
    <w:pPr>
      <w:spacing w:before="300" w:after="80" w:line="240" w:lineRule="auto"/>
      <w:contextualSpacing/>
    </w:pPr>
    <w:rPr>
      <w:rFonts w:ascii="Arial" w:hAnsi="Arial"/>
      <w:color w:val="080808"/>
      <w:sz w:val="22"/>
      <w:szCs w:val="18"/>
      <w:lang w:val="en-GB"/>
    </w:rPr>
  </w:style>
  <w:style w:type="paragraph" w:customStyle="1" w:styleId="MediaReleaseListNumber1">
    <w:name w:val="Media Release List Number 1"/>
    <w:qFormat/>
    <w:rsid w:val="00965318"/>
    <w:pPr>
      <w:numPr>
        <w:numId w:val="16"/>
      </w:numPr>
      <w:spacing w:after="230" w:line="240" w:lineRule="auto"/>
      <w:ind w:left="737" w:hanging="357"/>
      <w:contextualSpacing/>
    </w:pPr>
    <w:rPr>
      <w:rFonts w:ascii="Arial" w:hAnsi="Arial"/>
      <w:color w:val="080808"/>
      <w:sz w:val="18"/>
      <w:szCs w:val="18"/>
      <w:lang w:val="en-GB"/>
    </w:rPr>
  </w:style>
  <w:style w:type="paragraph" w:customStyle="1" w:styleId="MediaReleaseListNumber2">
    <w:name w:val="Media Release List Number 2"/>
    <w:qFormat/>
    <w:rsid w:val="00965318"/>
    <w:pPr>
      <w:numPr>
        <w:numId w:val="17"/>
      </w:numPr>
      <w:spacing w:after="230" w:line="240" w:lineRule="auto"/>
      <w:ind w:left="1134" w:hanging="357"/>
      <w:contextualSpacing/>
    </w:pPr>
    <w:rPr>
      <w:rFonts w:ascii="Arial" w:hAnsi="Arial"/>
      <w:color w:val="080808"/>
      <w:sz w:val="18"/>
      <w:szCs w:val="18"/>
      <w:lang w:val="en-GB"/>
    </w:rPr>
  </w:style>
  <w:style w:type="paragraph" w:customStyle="1" w:styleId="MediaReleaseListNumber3">
    <w:name w:val="Media Release List Number 3"/>
    <w:qFormat/>
    <w:rsid w:val="009B11F4"/>
    <w:pPr>
      <w:numPr>
        <w:numId w:val="18"/>
      </w:numPr>
      <w:spacing w:after="230" w:line="240" w:lineRule="auto"/>
      <w:ind w:left="1474" w:hanging="357"/>
      <w:contextualSpacing/>
    </w:pPr>
    <w:rPr>
      <w:rFonts w:ascii="Arial" w:hAnsi="Arial"/>
      <w:color w:val="080808"/>
      <w:sz w:val="18"/>
      <w:szCs w:val="18"/>
      <w:lang w:val="en-GB"/>
    </w:rPr>
  </w:style>
  <w:style w:type="paragraph" w:customStyle="1" w:styleId="MediaReleaseSubtitle">
    <w:name w:val="Media Release Subtitle"/>
    <w:qFormat/>
    <w:rsid w:val="00280D87"/>
    <w:pPr>
      <w:spacing w:line="240" w:lineRule="auto"/>
    </w:pPr>
    <w:rPr>
      <w:rFonts w:ascii="Arial" w:eastAsiaTheme="minorEastAsia" w:hAnsi="Arial"/>
      <w:color w:val="080808"/>
      <w:sz w:val="20"/>
      <w:szCs w:val="20"/>
      <w:lang w:val="en-GB"/>
    </w:rPr>
  </w:style>
  <w:style w:type="paragraph" w:customStyle="1" w:styleId="MediaReleaseTitle">
    <w:name w:val="Media Release Title"/>
    <w:qFormat/>
    <w:rsid w:val="00280D87"/>
    <w:pPr>
      <w:spacing w:line="240" w:lineRule="auto"/>
    </w:pPr>
    <w:rPr>
      <w:rFonts w:ascii="Arial" w:eastAsiaTheme="majorEastAsia" w:hAnsi="Arial" w:cstheme="majorBidi"/>
      <w:b/>
      <w:color w:val="080808"/>
      <w:spacing w:val="-10"/>
      <w:kern w:val="28"/>
      <w:sz w:val="36"/>
      <w:szCs w:val="36"/>
      <w:lang w:val="en-GB"/>
    </w:rPr>
  </w:style>
  <w:style w:type="paragraph" w:customStyle="1" w:styleId="Title-Book">
    <w:name w:val="Title - Book"/>
    <w:qFormat/>
    <w:rsid w:val="005A0708"/>
    <w:rPr>
      <w:rFonts w:ascii="Arial" w:eastAsiaTheme="majorEastAsia" w:hAnsi="Arial" w:cstheme="majorBidi"/>
      <w:b/>
      <w:color w:val="080808"/>
      <w:spacing w:val="-10"/>
      <w:kern w:val="28"/>
      <w:sz w:val="45"/>
      <w:szCs w:val="56"/>
      <w:lang w:val="en-GB"/>
    </w:rPr>
  </w:style>
  <w:style w:type="paragraph" w:customStyle="1" w:styleId="Heading3noTOC">
    <w:name w:val="Heading 3 no TOC"/>
    <w:qFormat/>
    <w:rsid w:val="00D02AE9"/>
    <w:rPr>
      <w:rFonts w:ascii="Arial" w:hAnsi="Arial"/>
      <w:color w:val="080808"/>
      <w:sz w:val="23"/>
      <w:szCs w:val="18"/>
      <w:lang w:val="en-GB"/>
    </w:rPr>
  </w:style>
  <w:style w:type="paragraph" w:customStyle="1" w:styleId="Heading4noTOC">
    <w:name w:val="Heading 4 no TOC"/>
    <w:basedOn w:val="BodyText"/>
    <w:qFormat/>
    <w:rsid w:val="005C78B8"/>
    <w:pPr>
      <w:contextualSpacing/>
    </w:pPr>
  </w:style>
  <w:style w:type="paragraph" w:customStyle="1" w:styleId="HEXFooter">
    <w:name w:val="HEX Footer"/>
    <w:basedOn w:val="Normal"/>
    <w:qFormat/>
    <w:rsid w:val="00ED2EDA"/>
    <w:rPr>
      <w:rFonts w:eastAsiaTheme="minorEastAsia"/>
      <w:noProof/>
      <w:color w:val="auto"/>
      <w:sz w:val="14"/>
      <w:szCs w:val="14"/>
      <w:lang w:val="en-US"/>
    </w:rPr>
  </w:style>
  <w:style w:type="paragraph" w:customStyle="1" w:styleId="HEXBody">
    <w:name w:val="HEX Body"/>
    <w:basedOn w:val="Normal"/>
    <w:next w:val="Normal"/>
    <w:qFormat/>
    <w:rsid w:val="00ED2EDA"/>
    <w:pPr>
      <w:widowControl w:val="0"/>
      <w:suppressAutoHyphens/>
      <w:autoSpaceDE w:val="0"/>
      <w:autoSpaceDN w:val="0"/>
      <w:adjustRightInd w:val="0"/>
      <w:spacing w:line="288" w:lineRule="auto"/>
      <w:textAlignment w:val="center"/>
    </w:pPr>
    <w:rPr>
      <w:rFonts w:eastAsiaTheme="minorEastAsia" w:cs="Arial"/>
      <w:color w:val="000000"/>
      <w:sz w:val="18"/>
      <w:szCs w:val="18"/>
      <w:lang w:val="en-US"/>
    </w:rPr>
  </w:style>
  <w:style w:type="paragraph" w:customStyle="1" w:styleId="Section1">
    <w:name w:val="Section 1"/>
    <w:basedOn w:val="Normal"/>
    <w:autoRedefine/>
    <w:rsid w:val="00ED2EDA"/>
    <w:pPr>
      <w:numPr>
        <w:ilvl w:val="1"/>
        <w:numId w:val="23"/>
      </w:numPr>
      <w:tabs>
        <w:tab w:val="clear" w:pos="851"/>
        <w:tab w:val="left" w:pos="680"/>
      </w:tabs>
      <w:suppressAutoHyphens/>
      <w:spacing w:before="60" w:after="60"/>
      <w:ind w:left="0" w:firstLine="0"/>
      <w:jc w:val="both"/>
      <w:outlineLvl w:val="1"/>
    </w:pPr>
    <w:rPr>
      <w:rFonts w:ascii="CG Times (W1)" w:eastAsia="Times New Roman" w:hAnsi="CG Times (W1)" w:cs="Times New Roman"/>
      <w:bCs/>
      <w:color w:val="auto"/>
      <w:spacing w:val="-2"/>
      <w:sz w:val="22"/>
      <w:szCs w:val="26"/>
      <w:lang w:val="en-US"/>
    </w:rPr>
  </w:style>
  <w:style w:type="paragraph" w:customStyle="1" w:styleId="Sectionheading">
    <w:name w:val="Section heading"/>
    <w:basedOn w:val="Normal"/>
    <w:next w:val="Section1"/>
    <w:autoRedefine/>
    <w:rsid w:val="00ED2EDA"/>
    <w:pPr>
      <w:keepNext/>
      <w:numPr>
        <w:numId w:val="23"/>
      </w:numPr>
      <w:tabs>
        <w:tab w:val="left" w:pos="680"/>
      </w:tabs>
      <w:suppressAutoHyphens/>
      <w:spacing w:before="360" w:after="120"/>
      <w:jc w:val="both"/>
    </w:pPr>
    <w:rPr>
      <w:rFonts w:ascii="Arial (W1)" w:eastAsia="Times New Roman" w:hAnsi="Arial (W1)" w:cs="Times New Roman"/>
      <w:b/>
      <w:smallCaps/>
      <w:color w:val="auto"/>
      <w:spacing w:val="-2"/>
      <w:sz w:val="22"/>
      <w:szCs w:val="20"/>
      <w:lang w:val="en-US"/>
    </w:rPr>
  </w:style>
  <w:style w:type="paragraph" w:customStyle="1" w:styleId="Section2">
    <w:name w:val="Section 2"/>
    <w:basedOn w:val="Normal"/>
    <w:autoRedefine/>
    <w:rsid w:val="00ED2EDA"/>
    <w:pPr>
      <w:numPr>
        <w:ilvl w:val="2"/>
        <w:numId w:val="23"/>
      </w:numPr>
      <w:suppressAutoHyphens/>
      <w:spacing w:before="60" w:after="60"/>
      <w:ind w:left="0" w:firstLine="0"/>
      <w:jc w:val="both"/>
      <w:outlineLvl w:val="1"/>
    </w:pPr>
    <w:rPr>
      <w:rFonts w:ascii="CG Times (W1)" w:eastAsia="Times New Roman" w:hAnsi="CG Times (W1)" w:cs="Times New Roman"/>
      <w:color w:val="auto"/>
      <w:spacing w:val="-2"/>
      <w:sz w:val="22"/>
      <w:szCs w:val="26"/>
    </w:rPr>
  </w:style>
  <w:style w:type="paragraph" w:customStyle="1" w:styleId="Section3">
    <w:name w:val="Section 3"/>
    <w:basedOn w:val="Normal"/>
    <w:rsid w:val="00ED2EDA"/>
    <w:pPr>
      <w:numPr>
        <w:ilvl w:val="3"/>
        <w:numId w:val="23"/>
      </w:numPr>
    </w:pPr>
    <w:rPr>
      <w:rFonts w:ascii="Arial (W1)" w:eastAsia="Times New Roman" w:hAnsi="Arial (W1)" w:cs="Times New Roman"/>
      <w:color w:val="auto"/>
      <w:sz w:val="22"/>
    </w:rPr>
  </w:style>
  <w:style w:type="character" w:customStyle="1" w:styleId="MenoPendente1">
    <w:name w:val="Menção Pendente1"/>
    <w:basedOn w:val="DefaultParagraphFont"/>
    <w:uiPriority w:val="99"/>
    <w:semiHidden/>
    <w:unhideWhenUsed/>
    <w:rsid w:val="00ED2EDA"/>
    <w:rPr>
      <w:color w:val="605E5C"/>
      <w:shd w:val="clear" w:color="auto" w:fill="E1DFDD"/>
    </w:rPr>
  </w:style>
  <w:style w:type="character" w:styleId="FollowedHyperlink">
    <w:name w:val="FollowedHyperlink"/>
    <w:basedOn w:val="DefaultParagraphFont"/>
    <w:uiPriority w:val="99"/>
    <w:semiHidden/>
    <w:unhideWhenUsed/>
    <w:rsid w:val="00ED2EDA"/>
    <w:rPr>
      <w:color w:val="7030A0" w:themeColor="followedHyperlink"/>
      <w:u w:val="single"/>
    </w:rPr>
  </w:style>
  <w:style w:type="paragraph" w:styleId="Revision">
    <w:name w:val="Revision"/>
    <w:hidden/>
    <w:uiPriority w:val="99"/>
    <w:semiHidden/>
    <w:rsid w:val="00ED2EDA"/>
    <w:pPr>
      <w:spacing w:line="240" w:lineRule="auto"/>
    </w:pPr>
    <w:rPr>
      <w:rFonts w:asciiTheme="minorHAnsi" w:hAnsiTheme="minorHAnsi"/>
      <w:sz w:val="22"/>
      <w:szCs w:val="22"/>
      <w:lang w:val="en-GB"/>
    </w:rPr>
  </w:style>
  <w:style w:type="paragraph" w:styleId="ListParagraph">
    <w:name w:val="List Paragraph"/>
    <w:basedOn w:val="Normal"/>
    <w:uiPriority w:val="34"/>
    <w:qFormat/>
    <w:rsid w:val="00ED2EDA"/>
    <w:pPr>
      <w:ind w:left="720"/>
      <w:contextualSpacing/>
    </w:pPr>
    <w:rPr>
      <w:rFonts w:asciiTheme="minorHAnsi" w:hAnsiTheme="minorHAnsi"/>
      <w:color w:val="auto"/>
      <w:sz w:val="24"/>
      <w:lang w:val="en-US"/>
    </w:rPr>
  </w:style>
  <w:style w:type="paragraph" w:styleId="NoSpacing">
    <w:name w:val="No Spacing"/>
    <w:uiPriority w:val="1"/>
    <w:qFormat/>
    <w:rsid w:val="00ED2EDA"/>
    <w:pPr>
      <w:autoSpaceDE w:val="0"/>
      <w:autoSpaceDN w:val="0"/>
      <w:adjustRightInd w:val="0"/>
      <w:spacing w:line="240" w:lineRule="auto"/>
      <w:jc w:val="both"/>
    </w:pPr>
    <w:rPr>
      <w:rFonts w:ascii="Calibri" w:eastAsiaTheme="minorEastAsia" w:hAnsi="Calibri" w:cs="Calibri"/>
      <w:sz w:val="22"/>
      <w:szCs w:val="22"/>
      <w:lang w:val="en-US"/>
    </w:rPr>
  </w:style>
  <w:style w:type="paragraph" w:customStyle="1" w:styleId="TCLevel2">
    <w:name w:val="TC Level 2"/>
    <w:basedOn w:val="ListParagraph"/>
    <w:qFormat/>
    <w:rsid w:val="00ED2EDA"/>
    <w:pPr>
      <w:numPr>
        <w:ilvl w:val="3"/>
        <w:numId w:val="26"/>
      </w:numPr>
      <w:spacing w:before="120"/>
      <w:contextualSpacing w:val="0"/>
      <w:jc w:val="both"/>
    </w:pPr>
    <w:rPr>
      <w:rFonts w:ascii="Arial" w:hAnsi="Arial"/>
      <w:sz w:val="17"/>
      <w:szCs w:val="17"/>
      <w:lang w:val="en-AU"/>
    </w:rPr>
  </w:style>
  <w:style w:type="paragraph" w:customStyle="1" w:styleId="TCLevel1">
    <w:name w:val="TC Level 1"/>
    <w:basedOn w:val="ListParagraph"/>
    <w:link w:val="TCLevel1Char"/>
    <w:qFormat/>
    <w:rsid w:val="00ED2EDA"/>
    <w:pPr>
      <w:numPr>
        <w:ilvl w:val="2"/>
        <w:numId w:val="26"/>
      </w:numPr>
      <w:spacing w:before="120"/>
      <w:contextualSpacing w:val="0"/>
      <w:jc w:val="both"/>
    </w:pPr>
    <w:rPr>
      <w:rFonts w:ascii="Arial" w:hAnsi="Arial"/>
      <w:sz w:val="17"/>
      <w:szCs w:val="17"/>
      <w:lang w:val="en-AU"/>
    </w:rPr>
  </w:style>
  <w:style w:type="character" w:customStyle="1" w:styleId="TCLevel1Char">
    <w:name w:val="TC Level 1 Char"/>
    <w:basedOn w:val="DefaultParagraphFont"/>
    <w:link w:val="TCLevel1"/>
    <w:rsid w:val="00ED2EDA"/>
    <w:rPr>
      <w:rFonts w:ascii="Arial" w:hAnsi="Arial"/>
      <w:sz w:val="17"/>
      <w:szCs w:val="17"/>
      <w:lang w:val="en-AU"/>
    </w:rPr>
  </w:style>
  <w:style w:type="paragraph" w:customStyle="1" w:styleId="TCH3">
    <w:name w:val="TC H3"/>
    <w:basedOn w:val="ListParagraph"/>
    <w:link w:val="TCH3Char"/>
    <w:qFormat/>
    <w:rsid w:val="00ED2EDA"/>
    <w:pPr>
      <w:numPr>
        <w:ilvl w:val="1"/>
        <w:numId w:val="26"/>
      </w:numPr>
      <w:spacing w:before="120"/>
      <w:contextualSpacing w:val="0"/>
      <w:jc w:val="both"/>
    </w:pPr>
    <w:rPr>
      <w:rFonts w:ascii="Arial" w:hAnsi="Arial"/>
      <w:b/>
      <w:sz w:val="17"/>
      <w:szCs w:val="17"/>
      <w:lang w:val="en-AU"/>
    </w:rPr>
  </w:style>
  <w:style w:type="character" w:customStyle="1" w:styleId="TCH3Char">
    <w:name w:val="TC H3 Char"/>
    <w:basedOn w:val="DefaultParagraphFont"/>
    <w:link w:val="TCH3"/>
    <w:rsid w:val="00ED2EDA"/>
    <w:rPr>
      <w:rFonts w:ascii="Arial" w:hAnsi="Arial"/>
      <w:b/>
      <w:sz w:val="17"/>
      <w:szCs w:val="17"/>
      <w:lang w:val="en-AU"/>
    </w:rPr>
  </w:style>
  <w:style w:type="paragraph" w:customStyle="1" w:styleId="TCH2">
    <w:name w:val="TC H2"/>
    <w:basedOn w:val="ListParagraph"/>
    <w:qFormat/>
    <w:rsid w:val="00ED2EDA"/>
    <w:pPr>
      <w:numPr>
        <w:numId w:val="26"/>
      </w:numPr>
      <w:pBdr>
        <w:bottom w:val="single" w:sz="4" w:space="1" w:color="auto"/>
      </w:pBdr>
      <w:spacing w:before="120"/>
      <w:jc w:val="both"/>
    </w:pPr>
    <w:rPr>
      <w:rFonts w:ascii="Arial" w:hAnsi="Arial"/>
      <w:b/>
      <w:smallCaps/>
      <w:sz w:val="20"/>
      <w:szCs w:val="22"/>
      <w:lang w:val="en-AU"/>
    </w:rPr>
  </w:style>
  <w:style w:type="paragraph" w:customStyle="1" w:styleId="DownerListNumber2">
    <w:name w:val="Downer List Number 2"/>
    <w:basedOn w:val="ListNumber2"/>
    <w:qFormat/>
    <w:rsid w:val="00ED2EDA"/>
    <w:pPr>
      <w:keepNext/>
      <w:numPr>
        <w:ilvl w:val="1"/>
        <w:numId w:val="28"/>
      </w:numPr>
      <w:tabs>
        <w:tab w:val="num" w:pos="360"/>
      </w:tabs>
      <w:spacing w:before="60" w:after="60"/>
      <w:contextualSpacing w:val="0"/>
      <w:jc w:val="both"/>
    </w:pPr>
    <w:rPr>
      <w:rFonts w:eastAsia="Times New Roman" w:cs="Times New Roman"/>
      <w:b/>
      <w:color w:val="auto"/>
      <w:sz w:val="16"/>
      <w:szCs w:val="24"/>
      <w:lang w:val="en-AU"/>
    </w:rPr>
  </w:style>
  <w:style w:type="paragraph" w:customStyle="1" w:styleId="DownerListNumber4">
    <w:name w:val="Downer List Number 4"/>
    <w:basedOn w:val="ListNumber4"/>
    <w:qFormat/>
    <w:rsid w:val="00ED2EDA"/>
    <w:pPr>
      <w:numPr>
        <w:ilvl w:val="3"/>
        <w:numId w:val="28"/>
      </w:numPr>
      <w:tabs>
        <w:tab w:val="num" w:pos="360"/>
      </w:tabs>
      <w:spacing w:before="60" w:after="60"/>
      <w:contextualSpacing w:val="0"/>
      <w:jc w:val="both"/>
    </w:pPr>
    <w:rPr>
      <w:rFonts w:ascii="Arial" w:eastAsia="Times New Roman" w:hAnsi="Arial" w:cs="Times New Roman"/>
      <w:sz w:val="16"/>
      <w:szCs w:val="24"/>
      <w:lang w:val="en-AU"/>
    </w:rPr>
  </w:style>
  <w:style w:type="paragraph" w:customStyle="1" w:styleId="DownerListNumber1">
    <w:name w:val="Downer List Number 1"/>
    <w:basedOn w:val="ListNumber"/>
    <w:qFormat/>
    <w:rsid w:val="00ED2EDA"/>
    <w:pPr>
      <w:keepNext/>
      <w:numPr>
        <w:numId w:val="0"/>
      </w:numPr>
      <w:spacing w:before="120" w:after="120"/>
      <w:ind w:left="567" w:hanging="567"/>
      <w:contextualSpacing w:val="0"/>
      <w:jc w:val="both"/>
    </w:pPr>
    <w:rPr>
      <w:rFonts w:eastAsia="Times New Roman" w:cs="Times New Roman"/>
      <w:b/>
      <w:caps/>
      <w:color w:val="auto"/>
      <w:sz w:val="16"/>
      <w:szCs w:val="24"/>
      <w:lang w:val="en-AU"/>
    </w:rPr>
  </w:style>
  <w:style w:type="paragraph" w:customStyle="1" w:styleId="DownerListNumber5">
    <w:name w:val="Downer List Number 5"/>
    <w:basedOn w:val="ListNumber5"/>
    <w:qFormat/>
    <w:rsid w:val="00ED2EDA"/>
    <w:pPr>
      <w:numPr>
        <w:ilvl w:val="4"/>
        <w:numId w:val="28"/>
      </w:numPr>
      <w:tabs>
        <w:tab w:val="num" w:pos="360"/>
      </w:tabs>
      <w:spacing w:before="60" w:after="60"/>
      <w:contextualSpacing w:val="0"/>
      <w:jc w:val="both"/>
    </w:pPr>
    <w:rPr>
      <w:rFonts w:ascii="Arial" w:eastAsia="Times New Roman" w:hAnsi="Arial" w:cs="Times New Roman"/>
      <w:sz w:val="16"/>
      <w:szCs w:val="24"/>
      <w:lang w:val="en-AU"/>
    </w:rPr>
  </w:style>
  <w:style w:type="numbering" w:customStyle="1" w:styleId="DownerNumberedList">
    <w:name w:val="Downer Numbered List"/>
    <w:uiPriority w:val="99"/>
    <w:rsid w:val="00ED2EDA"/>
    <w:pPr>
      <w:numPr>
        <w:numId w:val="27"/>
      </w:numPr>
    </w:pPr>
  </w:style>
  <w:style w:type="paragraph" w:customStyle="1" w:styleId="DownerListNumber6">
    <w:name w:val="Downer List Number 6"/>
    <w:basedOn w:val="DownerListNumber5"/>
    <w:qFormat/>
    <w:rsid w:val="00ED2EDA"/>
    <w:pPr>
      <w:numPr>
        <w:ilvl w:val="5"/>
      </w:numPr>
      <w:tabs>
        <w:tab w:val="num" w:pos="360"/>
      </w:tabs>
    </w:pPr>
  </w:style>
  <w:style w:type="paragraph" w:styleId="ListNumber4">
    <w:name w:val="List Number 4"/>
    <w:basedOn w:val="Normal"/>
    <w:uiPriority w:val="99"/>
    <w:semiHidden/>
    <w:unhideWhenUsed/>
    <w:rsid w:val="00ED2EDA"/>
    <w:pPr>
      <w:ind w:left="567" w:hanging="567"/>
      <w:contextualSpacing/>
    </w:pPr>
    <w:rPr>
      <w:rFonts w:asciiTheme="minorHAnsi" w:hAnsiTheme="minorHAnsi"/>
      <w:color w:val="auto"/>
      <w:sz w:val="22"/>
      <w:szCs w:val="22"/>
    </w:rPr>
  </w:style>
  <w:style w:type="paragraph" w:styleId="ListNumber5">
    <w:name w:val="List Number 5"/>
    <w:basedOn w:val="Normal"/>
    <w:uiPriority w:val="99"/>
    <w:semiHidden/>
    <w:unhideWhenUsed/>
    <w:rsid w:val="00ED2EDA"/>
    <w:pPr>
      <w:numPr>
        <w:numId w:val="30"/>
      </w:numPr>
      <w:contextualSpacing/>
    </w:pPr>
    <w:rPr>
      <w:rFonts w:asciiTheme="minorHAnsi" w:hAnsiTheme="minorHAnsi"/>
      <w:color w:val="auto"/>
      <w:sz w:val="22"/>
      <w:szCs w:val="22"/>
    </w:rPr>
  </w:style>
  <w:style w:type="paragraph" w:customStyle="1" w:styleId="Doc1">
    <w:name w:val="Doc1"/>
    <w:basedOn w:val="BodyText"/>
    <w:next w:val="Doc2"/>
    <w:rsid w:val="00ED2EDA"/>
    <w:pPr>
      <w:keepNext/>
      <w:widowControl w:val="0"/>
      <w:numPr>
        <w:numId w:val="33"/>
      </w:numPr>
      <w:tabs>
        <w:tab w:val="left" w:pos="425"/>
        <w:tab w:val="left" w:pos="709"/>
      </w:tabs>
      <w:spacing w:before="120" w:after="0"/>
      <w:outlineLvl w:val="0"/>
    </w:pPr>
    <w:rPr>
      <w:rFonts w:ascii="Arial Bold" w:eastAsia="SimSun" w:hAnsi="Arial Bold" w:cs="Times New Roman"/>
      <w:b/>
      <w:color w:val="auto"/>
      <w:sz w:val="18"/>
      <w:szCs w:val="22"/>
      <w:lang w:val="en-AU" w:eastAsia="en-AU"/>
    </w:rPr>
  </w:style>
  <w:style w:type="paragraph" w:customStyle="1" w:styleId="Doc2">
    <w:name w:val="Doc2"/>
    <w:basedOn w:val="Doc1"/>
    <w:next w:val="BodyTextIndent"/>
    <w:rsid w:val="00ED2EDA"/>
    <w:pPr>
      <w:numPr>
        <w:ilvl w:val="1"/>
      </w:numPr>
      <w:outlineLvl w:val="1"/>
    </w:pPr>
    <w:rPr>
      <w:rFonts w:ascii="Arial" w:hAnsi="Arial"/>
      <w:b w:val="0"/>
      <w:szCs w:val="18"/>
    </w:rPr>
  </w:style>
  <w:style w:type="paragraph" w:customStyle="1" w:styleId="Doc3">
    <w:name w:val="Doc3"/>
    <w:basedOn w:val="Doc2"/>
    <w:rsid w:val="00ED2EDA"/>
    <w:pPr>
      <w:keepNext w:val="0"/>
      <w:numPr>
        <w:ilvl w:val="2"/>
      </w:numPr>
      <w:tabs>
        <w:tab w:val="left" w:pos="851"/>
      </w:tabs>
      <w:spacing w:before="60"/>
      <w:outlineLvl w:val="2"/>
    </w:pPr>
    <w:rPr>
      <w:rFonts w:cs="Arial"/>
    </w:rPr>
  </w:style>
  <w:style w:type="paragraph" w:styleId="BodyTextIndent">
    <w:name w:val="Body Text Indent"/>
    <w:basedOn w:val="Normal"/>
    <w:link w:val="BodyTextIndentChar"/>
    <w:uiPriority w:val="99"/>
    <w:semiHidden/>
    <w:unhideWhenUsed/>
    <w:rsid w:val="00ED2EDA"/>
    <w:pPr>
      <w:spacing w:after="120"/>
      <w:ind w:left="360"/>
    </w:pPr>
    <w:rPr>
      <w:rFonts w:asciiTheme="minorHAnsi" w:hAnsiTheme="minorHAnsi"/>
      <w:color w:val="auto"/>
      <w:sz w:val="22"/>
      <w:szCs w:val="22"/>
    </w:rPr>
  </w:style>
  <w:style w:type="character" w:customStyle="1" w:styleId="BodyTextIndentChar">
    <w:name w:val="Body Text Indent Char"/>
    <w:basedOn w:val="DefaultParagraphFont"/>
    <w:link w:val="BodyTextIndent"/>
    <w:uiPriority w:val="99"/>
    <w:semiHidden/>
    <w:rsid w:val="00ED2EDA"/>
    <w:rPr>
      <w:rFonts w:asciiTheme="minorHAnsi" w:hAnsiTheme="minorHAnsi"/>
      <w:sz w:val="22"/>
      <w:szCs w:val="22"/>
      <w:lang w:val="en-GB"/>
    </w:rPr>
  </w:style>
  <w:style w:type="paragraph" w:customStyle="1" w:styleId="TableParagraph">
    <w:name w:val="Table Paragraph"/>
    <w:basedOn w:val="Normal"/>
    <w:uiPriority w:val="1"/>
    <w:qFormat/>
    <w:rsid w:val="007A4F4E"/>
    <w:pPr>
      <w:widowControl w:val="0"/>
      <w:autoSpaceDE w:val="0"/>
      <w:autoSpaceDN w:val="0"/>
      <w:spacing w:before="159"/>
      <w:ind w:left="55"/>
    </w:pPr>
    <w:rPr>
      <w:rFonts w:ascii="Hexagon Akkurat Light" w:eastAsia="Hexagon Akkurat Light" w:hAnsi="Hexagon Akkurat Light" w:cs="Hexagon Akkurat Light"/>
      <w:color w:val="auto"/>
      <w:sz w:val="22"/>
      <w:szCs w:val="22"/>
      <w:lang w:val="en-US" w:bidi="en-US"/>
    </w:rPr>
  </w:style>
  <w:style w:type="character" w:styleId="UnresolvedMention">
    <w:name w:val="Unresolved Mention"/>
    <w:basedOn w:val="DefaultParagraphFont"/>
    <w:uiPriority w:val="99"/>
    <w:semiHidden/>
    <w:unhideWhenUsed/>
    <w:rsid w:val="008B6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legal.min@hexagonmining.com" TargetMode="External"/><Relationship Id="rId2" Type="http://schemas.openxmlformats.org/officeDocument/2006/relationships/numbering" Target="numbering.xml"/><Relationship Id="rId16" Type="http://schemas.openxmlformats.org/officeDocument/2006/relationships/hyperlink" Target="http://www.hexagonmini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exagonmining.com/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O\OneDrive%20-%20Hexagon\Desktop\Update%20T&amp;Cs\Hexagon_Styles_Template.dotx" TargetMode="External"/></Relationships>
</file>

<file path=word/theme/theme1.xml><?xml version="1.0" encoding="utf-8"?>
<a:theme xmlns:a="http://schemas.openxmlformats.org/drawingml/2006/main" name="Office Theme">
  <a:themeElements>
    <a:clrScheme name="Hexagon">
      <a:dk1>
        <a:srgbClr val="FFFFFF"/>
      </a:dk1>
      <a:lt1>
        <a:srgbClr val="333333"/>
      </a:lt1>
      <a:dk2>
        <a:srgbClr val="FFFFFF"/>
      </a:dk2>
      <a:lt2>
        <a:srgbClr val="0097BA"/>
      </a:lt2>
      <a:accent1>
        <a:srgbClr val="0097BA"/>
      </a:accent1>
      <a:accent2>
        <a:srgbClr val="85CDDB"/>
      </a:accent2>
      <a:accent3>
        <a:srgbClr val="A5D867"/>
      </a:accent3>
      <a:accent4>
        <a:srgbClr val="0097BA"/>
      </a:accent4>
      <a:accent5>
        <a:srgbClr val="85CDDB"/>
      </a:accent5>
      <a:accent6>
        <a:srgbClr val="A5D867"/>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C39F0-5290-4FB0-BADA-3C6A1E8E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Hexagon_Styles_Template</Template>
  <TotalTime>255</TotalTime>
  <Pages>11</Pages>
  <Words>5958</Words>
  <Characters>33965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Joanne</dc:creator>
  <cp:keywords/>
  <dc:description/>
  <cp:lastModifiedBy>CARLSON Joanne</cp:lastModifiedBy>
  <cp:revision>17</cp:revision>
  <dcterms:created xsi:type="dcterms:W3CDTF">2021-05-19T15:00:00Z</dcterms:created>
  <dcterms:modified xsi:type="dcterms:W3CDTF">2021-10-11T17:17:00Z</dcterms:modified>
</cp:coreProperties>
</file>